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8E4C652" w:rsidR="00EC4533" w:rsidRPr="00F33EFE" w:rsidRDefault="00F856E0" w:rsidP="00315EA1">
      <w:pPr>
        <w:jc w:val="center"/>
        <w:rPr>
          <w:rFonts w:ascii="Avenir Next LT Pro" w:eastAsia="Avenir" w:hAnsi="Avenir Next LT Pro" w:cs="Avenir"/>
          <w:b/>
          <w:bCs/>
          <w:color w:val="000000" w:themeColor="text1"/>
        </w:rPr>
      </w:pPr>
      <w:r w:rsidRPr="00F33EFE">
        <w:rPr>
          <w:rFonts w:ascii="Avenir Next LT Pro" w:eastAsia="Avenir" w:hAnsi="Avenir Next LT Pro" w:cs="Avenir"/>
          <w:b/>
          <w:bCs/>
          <w:color w:val="000000" w:themeColor="text1"/>
        </w:rPr>
        <w:t>COMUNICATO STAMPA</w:t>
      </w:r>
    </w:p>
    <w:p w14:paraId="776DED2F" w14:textId="77777777" w:rsidR="00CD352E" w:rsidRPr="00F33EFE" w:rsidRDefault="00CD352E">
      <w:pPr>
        <w:jc w:val="center"/>
        <w:rPr>
          <w:rFonts w:ascii="Avenir Next LT Pro" w:eastAsia="Avenir" w:hAnsi="Avenir Next LT Pro" w:cs="Avenir"/>
          <w:b/>
          <w:bCs/>
          <w:color w:val="000000" w:themeColor="text1"/>
        </w:rPr>
      </w:pPr>
    </w:p>
    <w:p w14:paraId="120625D3" w14:textId="7B0270FD" w:rsidR="007C42B6" w:rsidRPr="00F33EFE" w:rsidRDefault="007C42B6" w:rsidP="008626D4">
      <w:pPr>
        <w:jc w:val="center"/>
        <w:rPr>
          <w:rFonts w:ascii="Avenir Next LT Pro" w:eastAsia="Avenir" w:hAnsi="Avenir Next LT Pro" w:cs="Avenir"/>
          <w:b/>
          <w:color w:val="000000" w:themeColor="text1"/>
          <w:sz w:val="26"/>
          <w:szCs w:val="26"/>
        </w:rPr>
      </w:pPr>
      <w:r w:rsidRPr="00F33EFE">
        <w:rPr>
          <w:rFonts w:ascii="Avenir Next LT Pro" w:eastAsia="Avenir" w:hAnsi="Avenir Next LT Pro" w:cs="Avenir"/>
          <w:b/>
          <w:color w:val="000000" w:themeColor="text1"/>
          <w:sz w:val="26"/>
          <w:szCs w:val="26"/>
        </w:rPr>
        <w:t>Diabete</w:t>
      </w:r>
      <w:r w:rsidR="008F3F59" w:rsidRPr="00F33EFE">
        <w:rPr>
          <w:rFonts w:ascii="Avenir Next LT Pro" w:eastAsia="Avenir" w:hAnsi="Avenir Next LT Pro" w:cs="Avenir"/>
          <w:b/>
          <w:color w:val="000000" w:themeColor="text1"/>
          <w:sz w:val="26"/>
          <w:szCs w:val="26"/>
        </w:rPr>
        <w:t xml:space="preserve"> tipo 2</w:t>
      </w:r>
      <w:r w:rsidRPr="00F33EFE">
        <w:rPr>
          <w:rFonts w:ascii="Avenir Next LT Pro" w:eastAsia="Avenir" w:hAnsi="Avenir Next LT Pro" w:cs="Avenir"/>
          <w:b/>
          <w:color w:val="000000" w:themeColor="text1"/>
          <w:sz w:val="26"/>
          <w:szCs w:val="26"/>
        </w:rPr>
        <w:t xml:space="preserve">: uso di glifozine entro due anni dalla diagnosi </w:t>
      </w:r>
      <w:r w:rsidR="00FA3A75" w:rsidRPr="00F33EFE">
        <w:rPr>
          <w:rFonts w:ascii="Avenir Next LT Pro" w:eastAsia="Avenir" w:hAnsi="Avenir Next LT Pro" w:cs="Avenir"/>
          <w:b/>
          <w:color w:val="000000" w:themeColor="text1"/>
          <w:sz w:val="26"/>
          <w:szCs w:val="26"/>
        </w:rPr>
        <w:t xml:space="preserve">cancella ‘memoria metabolica’ </w:t>
      </w:r>
      <w:r w:rsidR="00033F73" w:rsidRPr="00F33EFE">
        <w:rPr>
          <w:rFonts w:ascii="Avenir Next LT Pro" w:eastAsia="Avenir" w:hAnsi="Avenir Next LT Pro" w:cs="Avenir"/>
          <w:b/>
          <w:color w:val="000000" w:themeColor="text1"/>
          <w:sz w:val="26"/>
          <w:szCs w:val="26"/>
        </w:rPr>
        <w:t>e protegge dal</w:t>
      </w:r>
      <w:r w:rsidR="00FA3A75" w:rsidRPr="00F33EFE">
        <w:rPr>
          <w:rFonts w:ascii="Avenir Next LT Pro" w:eastAsia="Avenir" w:hAnsi="Avenir Next LT Pro" w:cs="Avenir"/>
          <w:b/>
          <w:color w:val="000000" w:themeColor="text1"/>
          <w:sz w:val="26"/>
          <w:szCs w:val="26"/>
        </w:rPr>
        <w:t xml:space="preserve"> rischio cardiovascolare </w:t>
      </w:r>
    </w:p>
    <w:p w14:paraId="0F25F8FB" w14:textId="255BCACD" w:rsidR="00985453" w:rsidRPr="00F33EFE" w:rsidRDefault="007C42B6" w:rsidP="00985453">
      <w:pPr>
        <w:jc w:val="center"/>
        <w:rPr>
          <w:rFonts w:ascii="Avenir Next LT Pro" w:eastAsia="Avenir" w:hAnsi="Avenir Next LT Pro" w:cs="Avenir"/>
          <w:bCs/>
          <w:i/>
          <w:iCs/>
          <w:color w:val="000000" w:themeColor="text1"/>
        </w:rPr>
      </w:pPr>
      <w:r w:rsidRPr="00F33EFE">
        <w:rPr>
          <w:rFonts w:ascii="Avenir Next LT Pro" w:eastAsia="Avenir" w:hAnsi="Avenir Next LT Pro" w:cs="Avenir"/>
          <w:bCs/>
          <w:i/>
          <w:iCs/>
          <w:color w:val="000000" w:themeColor="text1"/>
        </w:rPr>
        <w:t xml:space="preserve">Lo studio italiano pubblicato sul The Lancet Regional Health – Europe è basato sui dati degli Annali AMD – Associazione Medici Diabetologi </w:t>
      </w:r>
    </w:p>
    <w:p w14:paraId="6B5CD43C" w14:textId="77777777" w:rsidR="00985453" w:rsidRPr="00F33EFE" w:rsidRDefault="00985453" w:rsidP="008626D4">
      <w:pPr>
        <w:jc w:val="center"/>
        <w:rPr>
          <w:rFonts w:ascii="Avenir Next LT Pro" w:eastAsia="Avenir" w:hAnsi="Avenir Next LT Pro" w:cs="Avenir"/>
          <w:bCs/>
          <w:i/>
          <w:iCs/>
          <w:color w:val="000000" w:themeColor="text1"/>
        </w:rPr>
      </w:pPr>
    </w:p>
    <w:p w14:paraId="67B8F265" w14:textId="12355D8B" w:rsidR="00042DF8" w:rsidRDefault="00F856E0" w:rsidP="009A2824">
      <w:pPr>
        <w:spacing w:line="276" w:lineRule="auto"/>
        <w:jc w:val="both"/>
        <w:rPr>
          <w:rFonts w:ascii="Avenir Next LT Pro" w:eastAsia="Avenir" w:hAnsi="Avenir Next LT Pro" w:cs="Avenir"/>
          <w:color w:val="000000" w:themeColor="text1"/>
          <w:sz w:val="20"/>
          <w:szCs w:val="20"/>
        </w:rPr>
      </w:pPr>
      <w:r w:rsidRPr="00F33EFE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Roma, </w:t>
      </w:r>
      <w:r w:rsidR="00315EA1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21</w:t>
      </w:r>
      <w:r w:rsidR="00DE090E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settembre </w:t>
      </w:r>
      <w:r w:rsidRPr="00F33EFE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202</w:t>
      </w:r>
      <w:r w:rsidR="003711EA" w:rsidRPr="00F33EFE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3</w:t>
      </w:r>
      <w:r w:rsidRPr="00F33EFE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</w:t>
      </w:r>
      <w:r w:rsidR="0000776C" w:rsidRPr="00F33EFE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–</w:t>
      </w:r>
      <w:r w:rsidR="00E252D1" w:rsidRPr="00F33EFE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</w:t>
      </w:r>
      <w:r w:rsidR="009C26DE" w:rsidRPr="00F33EFE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 xml:space="preserve">L’utilizzo tempestivo delle glifozine </w:t>
      </w:r>
      <w:r w:rsidR="00D90222" w:rsidRPr="00F33EFE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>(SGLT2-i)</w:t>
      </w:r>
      <w:r w:rsidR="009A2824" w:rsidRPr="00F33EFE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 xml:space="preserve"> </w:t>
      </w:r>
      <w:r w:rsidR="009C26DE" w:rsidRPr="00F33EFE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>entro due anni dalla diagnosi di diabete</w:t>
      </w:r>
      <w:r w:rsidR="009C26DE" w:rsidRPr="00F33EFE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</w:t>
      </w:r>
      <w:r w:rsidR="009A2824" w:rsidRPr="00F33EFE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>tipo 2,</w:t>
      </w:r>
      <w:r w:rsidR="009A2824" w:rsidRPr="00F33EFE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</w:t>
      </w:r>
      <w:r w:rsidR="009C26DE" w:rsidRPr="00F33EFE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>migliora il compenso glicemico</w:t>
      </w:r>
      <w:r w:rsidR="00CD71CA" w:rsidRPr="00F33EFE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 xml:space="preserve"> e </w:t>
      </w:r>
      <w:r w:rsidR="009C26DE" w:rsidRPr="00F33EFE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>inibisce il fenomeno della ‘memoria metabolica’</w:t>
      </w:r>
      <w:r w:rsidR="009A2824" w:rsidRPr="00F33EFE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, cioè di quel</w:t>
      </w:r>
      <w:r w:rsidR="00D90222" w:rsidRPr="00F33EFE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meccanismo di danno prolungato legato alle iperglicemie tipiche della malattia, </w:t>
      </w:r>
      <w:r w:rsidR="009A2824" w:rsidRPr="00F33EFE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con effetti positivi sulla riduzione del </w:t>
      </w:r>
      <w:r w:rsidR="00011739" w:rsidRPr="00F33EFE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>rischio di evento cardiovascolare</w:t>
      </w:r>
      <w:r w:rsidR="00042DF8" w:rsidRPr="00315EA1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.</w:t>
      </w:r>
      <w:r w:rsidR="00042DF8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 xml:space="preserve"> </w:t>
      </w:r>
      <w:r w:rsidR="001B4110" w:rsidRPr="00315EA1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Gli effetti benefici degli SGLT-2i si osservano </w:t>
      </w:r>
      <w:r w:rsidR="00011739" w:rsidRPr="00315EA1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anche </w:t>
      </w:r>
      <w:r w:rsidR="009A2824" w:rsidRPr="00315EA1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nei</w:t>
      </w:r>
      <w:r w:rsidR="00011739" w:rsidRPr="00315EA1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soggetti </w:t>
      </w:r>
      <w:r w:rsidR="009A2824" w:rsidRPr="00315EA1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che presentano</w:t>
      </w:r>
      <w:r w:rsidR="00011739" w:rsidRPr="00315EA1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</w:t>
      </w:r>
      <w:r w:rsidR="00011739" w:rsidRPr="00315EA1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>valori di emoglobina glicosilata (HbA1c)</w:t>
      </w:r>
      <w:r w:rsidR="00011739" w:rsidRPr="00315EA1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tra il </w:t>
      </w:r>
      <w:r w:rsidR="00011739" w:rsidRPr="00315EA1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>7-8%</w:t>
      </w:r>
      <w:r w:rsidR="00011739" w:rsidRPr="00315EA1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o </w:t>
      </w:r>
      <w:r w:rsidR="00D74FFF" w:rsidRPr="00315EA1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>&gt;</w:t>
      </w:r>
      <w:r w:rsidR="00011739" w:rsidRPr="00315EA1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>8%</w:t>
      </w:r>
      <w:r w:rsidR="00011739" w:rsidRPr="00315EA1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</w:t>
      </w:r>
      <w:r w:rsidR="009A2824" w:rsidRPr="00315EA1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e</w:t>
      </w:r>
      <w:r w:rsidR="00D74FFF" w:rsidRPr="00315EA1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</w:t>
      </w:r>
      <w:r w:rsidR="00CD71CA" w:rsidRPr="00315EA1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un rischio</w:t>
      </w:r>
      <w:r w:rsidR="00011739" w:rsidRPr="00315EA1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cardiovascolare più alto </w:t>
      </w:r>
      <w:r w:rsidR="00D74FFF" w:rsidRPr="00315EA1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rispetti</w:t>
      </w:r>
      <w:r w:rsidR="00985453" w:rsidRPr="00315EA1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vamente </w:t>
      </w:r>
      <w:r w:rsidR="00011739" w:rsidRPr="00315EA1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del </w:t>
      </w:r>
      <w:r w:rsidR="00011739" w:rsidRPr="00315EA1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>20%</w:t>
      </w:r>
      <w:r w:rsidR="00011739" w:rsidRPr="00315EA1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e del </w:t>
      </w:r>
      <w:r w:rsidR="00011739" w:rsidRPr="00315EA1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>34%</w:t>
      </w:r>
      <w:r w:rsidR="00FA3A75" w:rsidRPr="00315EA1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.</w:t>
      </w:r>
      <w:r w:rsidR="00CD71CA" w:rsidRPr="00F33EFE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</w:t>
      </w:r>
    </w:p>
    <w:p w14:paraId="43282C36" w14:textId="12F8AF77" w:rsidR="009A2824" w:rsidRPr="00F33EFE" w:rsidRDefault="009A2824" w:rsidP="009A2824">
      <w:pPr>
        <w:spacing w:line="276" w:lineRule="auto"/>
        <w:jc w:val="both"/>
        <w:rPr>
          <w:rFonts w:ascii="Avenir Next LT Pro" w:eastAsia="Avenir" w:hAnsi="Avenir Next LT Pro" w:cs="Avenir"/>
          <w:color w:val="000000" w:themeColor="text1"/>
          <w:sz w:val="20"/>
          <w:szCs w:val="20"/>
        </w:rPr>
      </w:pPr>
      <w:r w:rsidRPr="00F33EFE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A rivelarlo è uno studio italiano pubblicato sulla rivista </w:t>
      </w:r>
      <w:r w:rsidRPr="00F33EFE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>The Lancet Regional Health Europe</w:t>
      </w:r>
      <w:r w:rsidRPr="00F33EFE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, che si basa sui dati degli </w:t>
      </w:r>
      <w:r w:rsidRPr="00F33EFE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>Annali AMD</w:t>
      </w:r>
      <w:r w:rsidRPr="00F33EFE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, il database dell’Associazione Medici Diabetologi (AMD) che dal 2006, grazie alla viva partecipazione e collaborazione di </w:t>
      </w:r>
      <w:r w:rsidR="004A3169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>circa 300</w:t>
      </w:r>
      <w:r w:rsidRPr="00F33EFE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 xml:space="preserve"> centri di diabetologia italiani</w:t>
      </w:r>
      <w:r w:rsidRPr="00F33EFE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, consente di monitorare l’andamento dell’assistenza diabetologica in Italia. Il lavoro ha preso in esame oltre </w:t>
      </w:r>
      <w:r w:rsidRPr="00F33EFE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>250mila persone con diabete</w:t>
      </w:r>
      <w:r w:rsidRPr="00F33EFE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</w:t>
      </w:r>
      <w:r w:rsidRPr="00F33EFE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>di nuova diagnosi</w:t>
      </w:r>
      <w:r w:rsidRPr="00F33EFE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, senza complicanze, ed ha valutato il </w:t>
      </w:r>
      <w:r w:rsidRPr="00F33EFE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>rischio di sviluppare complicanze cardiovascolari</w:t>
      </w:r>
      <w:r w:rsidRPr="00F33EFE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sulla base dei valori di compenso glicemico nei primi tre anni dalla diagnosi. </w:t>
      </w:r>
    </w:p>
    <w:p w14:paraId="2F3A8C92" w14:textId="398BCF9A" w:rsidR="00627E7C" w:rsidRPr="00F33EFE" w:rsidRDefault="00985453" w:rsidP="00D90222">
      <w:pPr>
        <w:spacing w:line="276" w:lineRule="auto"/>
        <w:jc w:val="both"/>
        <w:rPr>
          <w:rFonts w:ascii="Avenir Next LT Pro" w:eastAsia="Avenir" w:hAnsi="Avenir Next LT Pro" w:cs="Avenir"/>
          <w:color w:val="000000" w:themeColor="text1"/>
          <w:sz w:val="20"/>
          <w:szCs w:val="20"/>
        </w:rPr>
      </w:pPr>
      <w:r w:rsidRPr="00F33EFE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L’analisi ha dimostrato </w:t>
      </w:r>
      <w:r w:rsidRPr="00F33EFE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>l’efficacia protettiva delle glifozine SGLT2-i</w:t>
      </w:r>
      <w:r w:rsidRPr="00F33EFE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, </w:t>
      </w:r>
      <w:r w:rsidR="00627E7C" w:rsidRPr="00F33EFE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il cui </w:t>
      </w:r>
      <w:r w:rsidRPr="00F33EFE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>effetto protettivo è visibile anche a distanza di molti anni</w:t>
      </w:r>
      <w:r w:rsidRPr="00F33EFE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: grazie al database degli Annali AMD, infatti, è stato possibile monitorare l’andamento dei livelli di HbA1c ed è emerso che </w:t>
      </w:r>
      <w:r w:rsidR="00042DF8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nei</w:t>
      </w:r>
      <w:r w:rsidRPr="00F33EFE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pazienti con emoglobina glicosilata non </w:t>
      </w:r>
      <w:r w:rsidR="00315EA1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a</w:t>
      </w:r>
      <w:r w:rsidRPr="00F33EFE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target</w:t>
      </w:r>
      <w:r w:rsidRPr="00315EA1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, </w:t>
      </w:r>
      <w:r w:rsidR="00042DF8" w:rsidRPr="00315EA1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>il</w:t>
      </w:r>
      <w:r w:rsidR="001B4110" w:rsidRPr="00315EA1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 xml:space="preserve"> </w:t>
      </w:r>
      <w:r w:rsidRPr="00F33EFE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>trattamento con SGLT2-i entro i due anni dalla diagnosi</w:t>
      </w:r>
      <w:r w:rsidR="001B4110" w:rsidRPr="00315EA1">
        <w:rPr>
          <w:rFonts w:ascii="Avenir Next LT Pro" w:eastAsia="Avenir" w:hAnsi="Avenir Next LT Pro" w:cs="Avenir"/>
          <w:color w:val="FF0000"/>
          <w:sz w:val="20"/>
          <w:szCs w:val="20"/>
        </w:rPr>
        <w:t xml:space="preserve"> </w:t>
      </w:r>
      <w:r w:rsidR="001B4110" w:rsidRPr="00315EA1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riesce</w:t>
      </w:r>
      <w:r w:rsidRPr="00315EA1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a</w:t>
      </w:r>
      <w:r w:rsidR="00315EA1" w:rsidRPr="00315EA1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</w:t>
      </w:r>
      <w:r w:rsidR="001B4110" w:rsidRPr="00315EA1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>ridurre significativamente</w:t>
      </w:r>
      <w:r w:rsidRPr="00315EA1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 xml:space="preserve"> l’eccesso </w:t>
      </w:r>
      <w:r w:rsidRPr="00F33EFE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>di rischio cardiovascolare</w:t>
      </w:r>
      <w:r w:rsidRPr="00F33EFE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legato allo scompenso iniziale e a mantenere buoni livelli di HbA1c, guadagnando un vantaggio clinico rispetto a chi non è stato trattato con questa classe di farmaci o è stato trattato tardivamente</w:t>
      </w:r>
      <w:r w:rsidR="00627E7C" w:rsidRPr="00F33EFE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.</w:t>
      </w:r>
    </w:p>
    <w:p w14:paraId="1CDAA86D" w14:textId="3B87AD03" w:rsidR="00FA3A75" w:rsidRPr="00F33EFE" w:rsidRDefault="00FA3A75" w:rsidP="00D90222">
      <w:pPr>
        <w:spacing w:line="276" w:lineRule="auto"/>
        <w:jc w:val="both"/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</w:pPr>
      <w:r w:rsidRPr="00F33EFE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“</w:t>
      </w:r>
      <w:r w:rsidRPr="00F33EFE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>Quest’ultima analisi ha esplorato il fenomeno del ‘</w:t>
      </w:r>
      <w:r w:rsidRPr="00F33EFE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legacy effect</w:t>
      </w:r>
      <w:r w:rsidRPr="00F33EFE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>’</w:t>
      </w:r>
      <w:r w:rsidR="008F3F59" w:rsidRPr="00F33EFE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 xml:space="preserve"> o memoria metabolica’</w:t>
      </w:r>
      <w:r w:rsidR="00627E7C" w:rsidRPr="00F33EFE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>,</w:t>
      </w:r>
      <w:r w:rsidR="008F3F59" w:rsidRPr="00F33EFE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 xml:space="preserve"> cioè l’associazione tra l’inadeguato compenso glicemico subito dopo l’esordio del diabete tipo 2 e il futuro rischio di complicanze” </w:t>
      </w:r>
      <w:r w:rsidR="008F3F59" w:rsidRPr="00F33EFE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dichiarano </w:t>
      </w:r>
      <w:r w:rsidR="008F3F59" w:rsidRPr="00315EA1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>Giuseppina Russo</w:t>
      </w:r>
      <w:r w:rsidR="008F3F59" w:rsidRPr="00315EA1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e </w:t>
      </w:r>
      <w:r w:rsidR="008F3F59" w:rsidRPr="00315EA1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>Antonio Ceriello</w:t>
      </w:r>
      <w:r w:rsidR="008F3F59" w:rsidRPr="00F33EFE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, referenti AMD dello studio pubblicato sulla rivista internazionale.</w:t>
      </w:r>
      <w:r w:rsidR="008F3F59" w:rsidRPr="00F33EFE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 xml:space="preserve"> “</w:t>
      </w:r>
      <w:r w:rsidR="00DC61FF" w:rsidRPr="00F33EFE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 xml:space="preserve">L’elemento di vera novità </w:t>
      </w:r>
      <w:r w:rsidR="00121C57" w:rsidRPr="00F33EFE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 xml:space="preserve">dello studio </w:t>
      </w:r>
      <w:r w:rsidR="00DC61FF" w:rsidRPr="00F33EFE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 xml:space="preserve">è rappresentato dall’aver </w:t>
      </w:r>
      <w:r w:rsidR="008F3F59" w:rsidRPr="00F33EFE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>indagato</w:t>
      </w:r>
      <w:r w:rsidR="00DC61FF" w:rsidRPr="00F33EFE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 xml:space="preserve">, per la prima volta, </w:t>
      </w:r>
      <w:r w:rsidR="00AD69FF" w:rsidRPr="00F33EFE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 xml:space="preserve">il ruolo degli SGLT2 inibitori nel modificare </w:t>
      </w:r>
      <w:r w:rsidR="00121C57" w:rsidRPr="00F33EFE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 xml:space="preserve">questo fenomeno, </w:t>
      </w:r>
      <w:r w:rsidR="00AD69FF" w:rsidRPr="00F33EFE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>offrendo una precoce protezione cardiovascolare</w:t>
      </w:r>
      <w:r w:rsidR="00121C57" w:rsidRPr="00F33EFE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>: un ulteriore elemento a favore di un più diffuso e precoce trattamento con questa classe di farmaci innovativi, armi terapeutiche che possono contribuire a garantire una migliore gestione della malattia e qualità di vita</w:t>
      </w:r>
      <w:r w:rsidR="00AD69FF" w:rsidRPr="00F33EFE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 xml:space="preserve">”. </w:t>
      </w:r>
    </w:p>
    <w:p w14:paraId="34CD9251" w14:textId="34563526" w:rsidR="00683714" w:rsidRPr="00F33EFE" w:rsidRDefault="00AD69FF" w:rsidP="007C42B6">
      <w:pPr>
        <w:spacing w:line="276" w:lineRule="auto"/>
        <w:jc w:val="both"/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</w:pPr>
      <w:r w:rsidRPr="00F33EFE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“</w:t>
      </w:r>
      <w:r w:rsidRPr="00F33EFE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>L’importante pubblicazione di questo studio sul The Lancet Regional Health Europe testimonia ancora la validi</w:t>
      </w:r>
      <w:r w:rsidR="00FB4A6A" w:rsidRPr="00F33EFE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 xml:space="preserve">tà e la rilevanza del database degli Annali AMD, una preziosa fonte di informazioni cliniche e sanitarie” </w:t>
      </w:r>
      <w:r w:rsidR="00FB4A6A" w:rsidRPr="00F33EFE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aggiunge </w:t>
      </w:r>
      <w:r w:rsidR="00FB4A6A" w:rsidRPr="00F33EFE">
        <w:rPr>
          <w:rFonts w:ascii="Avenir Next LT Pro" w:eastAsia="Avenir" w:hAnsi="Avenir Next LT Pro" w:cs="Avenir"/>
          <w:b/>
          <w:bCs/>
          <w:color w:val="000000" w:themeColor="text1"/>
          <w:sz w:val="20"/>
          <w:szCs w:val="20"/>
        </w:rPr>
        <w:t>Graziano Di Cianni</w:t>
      </w:r>
      <w:r w:rsidR="00FB4A6A" w:rsidRPr="00F33EFE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, Presidente nazionale AMD. “</w:t>
      </w:r>
      <w:r w:rsidR="00FB4A6A" w:rsidRPr="00F33EFE">
        <w:rPr>
          <w:rFonts w:ascii="Avenir Next LT Pro" w:eastAsia="Avenir" w:hAnsi="Avenir Next LT Pro" w:cs="Avenir"/>
          <w:i/>
          <w:iCs/>
          <w:color w:val="000000" w:themeColor="text1"/>
          <w:sz w:val="20"/>
          <w:szCs w:val="20"/>
        </w:rPr>
        <w:t>I risultati di questo studio ci confermano quanto sappiamo da tempo: è necessario intervenire in maniera tempestiva dopo la diagnosi di diabete per raggiungere prima un buon controllo glicemico e mantenerlo nel tempo, riducendo così il rischio complicanze cardiovascolari, che rappresentano la prima causa di decesso per le persone con diabete”.</w:t>
      </w:r>
    </w:p>
    <w:p w14:paraId="390A9F6D" w14:textId="77777777" w:rsidR="0030591D" w:rsidRPr="00F33EFE" w:rsidRDefault="0030591D">
      <w:pPr>
        <w:jc w:val="both"/>
        <w:rPr>
          <w:rFonts w:ascii="Avenir Next LT Pro" w:eastAsia="Avenir" w:hAnsi="Avenir Next LT Pro" w:cs="Avenir"/>
          <w:color w:val="000000" w:themeColor="text1"/>
          <w:sz w:val="20"/>
          <w:szCs w:val="20"/>
        </w:rPr>
      </w:pPr>
    </w:p>
    <w:p w14:paraId="60CF8CB0" w14:textId="77777777" w:rsidR="00627E7C" w:rsidRPr="00F33EFE" w:rsidRDefault="00627E7C">
      <w:pPr>
        <w:jc w:val="both"/>
        <w:rPr>
          <w:rFonts w:ascii="Avenir Next LT Pro" w:eastAsia="Avenir" w:hAnsi="Avenir Next LT Pro" w:cs="Avenir"/>
          <w:color w:val="000000" w:themeColor="text1"/>
          <w:sz w:val="20"/>
          <w:szCs w:val="20"/>
        </w:rPr>
      </w:pPr>
    </w:p>
    <w:p w14:paraId="00000012" w14:textId="77777777" w:rsidR="00EC4533" w:rsidRPr="00F33EFE" w:rsidRDefault="00F856E0">
      <w:pPr>
        <w:jc w:val="both"/>
        <w:rPr>
          <w:rFonts w:ascii="Avenir Next LT Pro" w:eastAsia="Avenir" w:hAnsi="Avenir Next LT Pro" w:cs="Avenir"/>
          <w:b/>
          <w:color w:val="000000" w:themeColor="text1"/>
          <w:sz w:val="20"/>
          <w:szCs w:val="20"/>
        </w:rPr>
      </w:pPr>
      <w:r w:rsidRPr="00F33EFE">
        <w:rPr>
          <w:rFonts w:ascii="Avenir Next LT Pro" w:eastAsia="Avenir" w:hAnsi="Avenir Next LT Pro" w:cs="Avenir"/>
          <w:b/>
          <w:color w:val="000000" w:themeColor="text1"/>
          <w:sz w:val="20"/>
          <w:szCs w:val="20"/>
        </w:rPr>
        <w:t xml:space="preserve">Per ulteriori informazioni: </w:t>
      </w:r>
    </w:p>
    <w:p w14:paraId="00000013" w14:textId="77777777" w:rsidR="00EC4533" w:rsidRPr="00F33EFE" w:rsidRDefault="00F856E0" w:rsidP="00D14058">
      <w:pPr>
        <w:spacing w:line="240" w:lineRule="auto"/>
        <w:jc w:val="both"/>
        <w:rPr>
          <w:rFonts w:ascii="Avenir Next LT Pro" w:eastAsia="Avenir" w:hAnsi="Avenir Next LT Pro" w:cs="Avenir"/>
          <w:iCs/>
          <w:color w:val="000000" w:themeColor="text1"/>
          <w:sz w:val="20"/>
          <w:szCs w:val="20"/>
        </w:rPr>
      </w:pPr>
      <w:r w:rsidRPr="00F33EFE">
        <w:rPr>
          <w:rFonts w:ascii="Avenir Next LT Pro" w:eastAsia="Avenir" w:hAnsi="Avenir Next LT Pro" w:cs="Avenir"/>
          <w:iCs/>
          <w:color w:val="000000" w:themeColor="text1"/>
          <w:sz w:val="20"/>
          <w:szCs w:val="20"/>
        </w:rPr>
        <w:t xml:space="preserve">Ufficio stampa AMD - Value Relations </w:t>
      </w:r>
    </w:p>
    <w:p w14:paraId="00000014" w14:textId="77777777" w:rsidR="00EC4533" w:rsidRPr="00F33EFE" w:rsidRDefault="00F856E0" w:rsidP="00D14058">
      <w:pPr>
        <w:spacing w:line="240" w:lineRule="auto"/>
        <w:jc w:val="both"/>
        <w:rPr>
          <w:rFonts w:ascii="Avenir Next LT Pro" w:eastAsia="Avenir" w:hAnsi="Avenir Next LT Pro" w:cs="Avenir"/>
          <w:color w:val="000000" w:themeColor="text1"/>
          <w:sz w:val="20"/>
          <w:szCs w:val="20"/>
        </w:rPr>
      </w:pPr>
      <w:r w:rsidRPr="00F33EFE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Chiara Farroni </w:t>
      </w:r>
    </w:p>
    <w:p w14:paraId="00000015" w14:textId="77777777" w:rsidR="00EC4533" w:rsidRPr="00F33EFE" w:rsidRDefault="00F856E0" w:rsidP="00D14058">
      <w:pPr>
        <w:spacing w:line="240" w:lineRule="auto"/>
        <w:jc w:val="both"/>
        <w:rPr>
          <w:rFonts w:ascii="Avenir Next LT Pro" w:eastAsia="Avenir" w:hAnsi="Avenir Next LT Pro" w:cs="Avenir"/>
          <w:color w:val="000000" w:themeColor="text1"/>
          <w:sz w:val="20"/>
          <w:szCs w:val="20"/>
        </w:rPr>
      </w:pPr>
      <w:r w:rsidRPr="00F33EFE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e-mail. </w:t>
      </w:r>
      <w:hyperlink r:id="rId7">
        <w:r w:rsidRPr="00F33EFE">
          <w:rPr>
            <w:rFonts w:ascii="Avenir Next LT Pro" w:eastAsia="Avenir" w:hAnsi="Avenir Next LT Pro" w:cs="Avenir"/>
            <w:color w:val="000000" w:themeColor="text1"/>
            <w:sz w:val="20"/>
            <w:szCs w:val="20"/>
            <w:u w:val="single"/>
          </w:rPr>
          <w:t>c.farroni@vrelations.it</w:t>
        </w:r>
      </w:hyperlink>
    </w:p>
    <w:p w14:paraId="0000001A" w14:textId="777D0BF3" w:rsidR="00EC4533" w:rsidRPr="00F33EFE" w:rsidRDefault="00F856E0" w:rsidP="00D14058">
      <w:pPr>
        <w:spacing w:line="240" w:lineRule="auto"/>
        <w:jc w:val="both"/>
        <w:rPr>
          <w:rFonts w:ascii="Avenir Next LT Pro" w:eastAsia="Avenir" w:hAnsi="Avenir Next LT Pro" w:cs="Avenir"/>
          <w:color w:val="000000" w:themeColor="text1"/>
          <w:sz w:val="20"/>
          <w:szCs w:val="20"/>
        </w:rPr>
      </w:pPr>
      <w:r w:rsidRPr="00F33EFE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mob. 331</w:t>
      </w:r>
      <w:r w:rsidR="002453D6" w:rsidRPr="00F33EFE">
        <w:rPr>
          <w:rFonts w:ascii="Avenir Next LT Pro" w:eastAsia="Avenir" w:hAnsi="Avenir Next LT Pro" w:cs="Avenir"/>
          <w:color w:val="000000" w:themeColor="text1"/>
          <w:sz w:val="20"/>
          <w:szCs w:val="20"/>
        </w:rPr>
        <w:t xml:space="preserve"> </w:t>
      </w:r>
      <w:r w:rsidRPr="00F33EFE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499737</w:t>
      </w:r>
      <w:r w:rsidR="00B1490C" w:rsidRPr="00F33EFE">
        <w:rPr>
          <w:rFonts w:ascii="Avenir Next LT Pro" w:eastAsia="Avenir" w:hAnsi="Avenir Next LT Pro" w:cs="Avenir"/>
          <w:color w:val="000000" w:themeColor="text1"/>
          <w:sz w:val="20"/>
          <w:szCs w:val="20"/>
        </w:rPr>
        <w:t>5</w:t>
      </w:r>
    </w:p>
    <w:p w14:paraId="77654F13" w14:textId="77777777" w:rsidR="004F0FE6" w:rsidRPr="00F33EFE" w:rsidRDefault="004F0FE6" w:rsidP="00D14058">
      <w:pPr>
        <w:spacing w:line="240" w:lineRule="auto"/>
        <w:jc w:val="both"/>
        <w:rPr>
          <w:rFonts w:ascii="Avenir Next LT Pro" w:eastAsia="Avenir" w:hAnsi="Avenir Next LT Pro" w:cs="Avenir"/>
          <w:color w:val="000000" w:themeColor="text1"/>
          <w:sz w:val="20"/>
          <w:szCs w:val="20"/>
        </w:rPr>
      </w:pPr>
    </w:p>
    <w:p w14:paraId="6D8DEBE8" w14:textId="77777777" w:rsidR="004F0FE6" w:rsidRPr="00F33EFE" w:rsidRDefault="004F0FE6" w:rsidP="004F0FE6">
      <w:pPr>
        <w:rPr>
          <w:color w:val="000000" w:themeColor="text1"/>
        </w:rPr>
      </w:pPr>
    </w:p>
    <w:p w14:paraId="049789B6" w14:textId="77777777" w:rsidR="004F0FE6" w:rsidRPr="00F33EFE" w:rsidRDefault="004F0FE6" w:rsidP="00D14058">
      <w:pPr>
        <w:spacing w:line="240" w:lineRule="auto"/>
        <w:jc w:val="both"/>
        <w:rPr>
          <w:rFonts w:ascii="Avenir Next LT Pro" w:eastAsia="Avenir" w:hAnsi="Avenir Next LT Pro" w:cs="Avenir"/>
          <w:color w:val="000000" w:themeColor="text1"/>
          <w:sz w:val="18"/>
          <w:szCs w:val="18"/>
        </w:rPr>
      </w:pPr>
    </w:p>
    <w:sectPr w:rsidR="004F0FE6" w:rsidRPr="00F33EFE">
      <w:headerReference w:type="default" r:id="rId8"/>
      <w:pgSz w:w="11906" w:h="16838"/>
      <w:pgMar w:top="1418" w:right="1134" w:bottom="1134" w:left="107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D8FDC" w14:textId="77777777" w:rsidR="001727A6" w:rsidRDefault="001727A6">
      <w:pPr>
        <w:spacing w:after="0" w:line="240" w:lineRule="auto"/>
      </w:pPr>
      <w:r>
        <w:separator/>
      </w:r>
    </w:p>
  </w:endnote>
  <w:endnote w:type="continuationSeparator" w:id="0">
    <w:p w14:paraId="7B941C5E" w14:textId="77777777" w:rsidR="001727A6" w:rsidRDefault="00172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1DA8C" w14:textId="77777777" w:rsidR="001727A6" w:rsidRDefault="001727A6">
      <w:pPr>
        <w:spacing w:after="0" w:line="240" w:lineRule="auto"/>
      </w:pPr>
      <w:r>
        <w:separator/>
      </w:r>
    </w:p>
  </w:footnote>
  <w:footnote w:type="continuationSeparator" w:id="0">
    <w:p w14:paraId="1DCB41A1" w14:textId="77777777" w:rsidR="001727A6" w:rsidRDefault="00172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04095" w14:textId="59A27F3E" w:rsidR="00B1490C" w:rsidRDefault="00A91CC4" w:rsidP="00B149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4C5515B" wp14:editId="78F8D087">
          <wp:simplePos x="0" y="0"/>
          <wp:positionH relativeFrom="column">
            <wp:posOffset>2372360</wp:posOffset>
          </wp:positionH>
          <wp:positionV relativeFrom="paragraph">
            <wp:posOffset>-15240</wp:posOffset>
          </wp:positionV>
          <wp:extent cx="1324610" cy="838200"/>
          <wp:effectExtent l="0" t="0" r="0" b="0"/>
          <wp:wrapTopAndBottom/>
          <wp:docPr id="1" name="Immagine 1" descr="AMD – Associazione Medici Diabetolo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D – Associazione Medici Diabetolog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F864F5" w14:textId="77777777" w:rsidR="00B1490C" w:rsidRDefault="00B1490C" w:rsidP="00B149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3"/>
    <w:rsid w:val="00003E83"/>
    <w:rsid w:val="0000776C"/>
    <w:rsid w:val="00011739"/>
    <w:rsid w:val="00026079"/>
    <w:rsid w:val="00033F73"/>
    <w:rsid w:val="00042DF8"/>
    <w:rsid w:val="00053645"/>
    <w:rsid w:val="00062CD8"/>
    <w:rsid w:val="00062FF9"/>
    <w:rsid w:val="00063468"/>
    <w:rsid w:val="00072BE9"/>
    <w:rsid w:val="000A645C"/>
    <w:rsid w:val="000C6D5F"/>
    <w:rsid w:val="00111032"/>
    <w:rsid w:val="00121C57"/>
    <w:rsid w:val="00132737"/>
    <w:rsid w:val="001329B9"/>
    <w:rsid w:val="00155FAC"/>
    <w:rsid w:val="001727A6"/>
    <w:rsid w:val="00175CB7"/>
    <w:rsid w:val="00186789"/>
    <w:rsid w:val="00187889"/>
    <w:rsid w:val="00187FA2"/>
    <w:rsid w:val="001B4110"/>
    <w:rsid w:val="001B4748"/>
    <w:rsid w:val="001D1B88"/>
    <w:rsid w:val="001E6274"/>
    <w:rsid w:val="00201F5A"/>
    <w:rsid w:val="0020511A"/>
    <w:rsid w:val="00220D40"/>
    <w:rsid w:val="00222529"/>
    <w:rsid w:val="002258CF"/>
    <w:rsid w:val="00240B41"/>
    <w:rsid w:val="002453D6"/>
    <w:rsid w:val="002461BA"/>
    <w:rsid w:val="002537D4"/>
    <w:rsid w:val="00286BB8"/>
    <w:rsid w:val="002959D9"/>
    <w:rsid w:val="002C5C72"/>
    <w:rsid w:val="002F0CB8"/>
    <w:rsid w:val="002F39A3"/>
    <w:rsid w:val="0030591D"/>
    <w:rsid w:val="0030776B"/>
    <w:rsid w:val="00314FCE"/>
    <w:rsid w:val="00315EA1"/>
    <w:rsid w:val="0034683F"/>
    <w:rsid w:val="00350FC9"/>
    <w:rsid w:val="00361CA0"/>
    <w:rsid w:val="003642C6"/>
    <w:rsid w:val="00370ECF"/>
    <w:rsid w:val="003711EA"/>
    <w:rsid w:val="00372309"/>
    <w:rsid w:val="00381988"/>
    <w:rsid w:val="003A36D3"/>
    <w:rsid w:val="003B5DC9"/>
    <w:rsid w:val="003D63EC"/>
    <w:rsid w:val="003E0967"/>
    <w:rsid w:val="003F6C2D"/>
    <w:rsid w:val="003F6F97"/>
    <w:rsid w:val="004046E8"/>
    <w:rsid w:val="004126A5"/>
    <w:rsid w:val="00412B3C"/>
    <w:rsid w:val="00414181"/>
    <w:rsid w:val="00421FA8"/>
    <w:rsid w:val="00422547"/>
    <w:rsid w:val="0043596C"/>
    <w:rsid w:val="00447EEA"/>
    <w:rsid w:val="004661AA"/>
    <w:rsid w:val="00495FE4"/>
    <w:rsid w:val="004A3169"/>
    <w:rsid w:val="004A51CC"/>
    <w:rsid w:val="004B0B98"/>
    <w:rsid w:val="004B6CC4"/>
    <w:rsid w:val="004C333A"/>
    <w:rsid w:val="004C56B9"/>
    <w:rsid w:val="004D2A2A"/>
    <w:rsid w:val="004E24D0"/>
    <w:rsid w:val="004F0FE6"/>
    <w:rsid w:val="004F55C8"/>
    <w:rsid w:val="0050384A"/>
    <w:rsid w:val="00515341"/>
    <w:rsid w:val="00525A91"/>
    <w:rsid w:val="00526A5F"/>
    <w:rsid w:val="005779B9"/>
    <w:rsid w:val="005805AE"/>
    <w:rsid w:val="005D034B"/>
    <w:rsid w:val="005E3D62"/>
    <w:rsid w:val="005F4154"/>
    <w:rsid w:val="005F4C30"/>
    <w:rsid w:val="00622B1F"/>
    <w:rsid w:val="00627E7C"/>
    <w:rsid w:val="00630814"/>
    <w:rsid w:val="006602C9"/>
    <w:rsid w:val="00680FAD"/>
    <w:rsid w:val="00683714"/>
    <w:rsid w:val="006B21C1"/>
    <w:rsid w:val="006C082E"/>
    <w:rsid w:val="006D6233"/>
    <w:rsid w:val="006D7033"/>
    <w:rsid w:val="006D7B96"/>
    <w:rsid w:val="006E145C"/>
    <w:rsid w:val="006E14ED"/>
    <w:rsid w:val="006E1DD6"/>
    <w:rsid w:val="006F5BC1"/>
    <w:rsid w:val="0070112F"/>
    <w:rsid w:val="00724A72"/>
    <w:rsid w:val="007306A7"/>
    <w:rsid w:val="00731187"/>
    <w:rsid w:val="00747668"/>
    <w:rsid w:val="00762B0D"/>
    <w:rsid w:val="007668FF"/>
    <w:rsid w:val="00787BB7"/>
    <w:rsid w:val="007A3603"/>
    <w:rsid w:val="007A5E71"/>
    <w:rsid w:val="007B49B5"/>
    <w:rsid w:val="007C0D57"/>
    <w:rsid w:val="007C42B6"/>
    <w:rsid w:val="007E3D4C"/>
    <w:rsid w:val="008112B4"/>
    <w:rsid w:val="00816718"/>
    <w:rsid w:val="00821350"/>
    <w:rsid w:val="0083354E"/>
    <w:rsid w:val="00850EC6"/>
    <w:rsid w:val="008626D4"/>
    <w:rsid w:val="0087036D"/>
    <w:rsid w:val="00871E15"/>
    <w:rsid w:val="00896620"/>
    <w:rsid w:val="008A5620"/>
    <w:rsid w:val="008B381F"/>
    <w:rsid w:val="008D40AF"/>
    <w:rsid w:val="008F3F59"/>
    <w:rsid w:val="008F6798"/>
    <w:rsid w:val="00903121"/>
    <w:rsid w:val="00921ADD"/>
    <w:rsid w:val="00934531"/>
    <w:rsid w:val="00941C6E"/>
    <w:rsid w:val="00945507"/>
    <w:rsid w:val="00950CC9"/>
    <w:rsid w:val="0096114B"/>
    <w:rsid w:val="0096134A"/>
    <w:rsid w:val="00967B55"/>
    <w:rsid w:val="0097543F"/>
    <w:rsid w:val="00983782"/>
    <w:rsid w:val="00985453"/>
    <w:rsid w:val="00985BF2"/>
    <w:rsid w:val="00993C9F"/>
    <w:rsid w:val="009A2824"/>
    <w:rsid w:val="009A47F5"/>
    <w:rsid w:val="009C26DE"/>
    <w:rsid w:val="009C7720"/>
    <w:rsid w:val="009F052B"/>
    <w:rsid w:val="00A00BDB"/>
    <w:rsid w:val="00A0463F"/>
    <w:rsid w:val="00A064BD"/>
    <w:rsid w:val="00A346E9"/>
    <w:rsid w:val="00A4130C"/>
    <w:rsid w:val="00A41F4C"/>
    <w:rsid w:val="00A62574"/>
    <w:rsid w:val="00A67C75"/>
    <w:rsid w:val="00A77262"/>
    <w:rsid w:val="00A819CD"/>
    <w:rsid w:val="00A84E88"/>
    <w:rsid w:val="00A85921"/>
    <w:rsid w:val="00A91CC4"/>
    <w:rsid w:val="00A96004"/>
    <w:rsid w:val="00AA3CB6"/>
    <w:rsid w:val="00AA79BF"/>
    <w:rsid w:val="00AB5537"/>
    <w:rsid w:val="00AC3201"/>
    <w:rsid w:val="00AD64A4"/>
    <w:rsid w:val="00AD69FF"/>
    <w:rsid w:val="00AF6398"/>
    <w:rsid w:val="00B1490C"/>
    <w:rsid w:val="00B177F6"/>
    <w:rsid w:val="00B82001"/>
    <w:rsid w:val="00B820E4"/>
    <w:rsid w:val="00B84F5E"/>
    <w:rsid w:val="00B95D70"/>
    <w:rsid w:val="00BA4072"/>
    <w:rsid w:val="00BB3D70"/>
    <w:rsid w:val="00BD655F"/>
    <w:rsid w:val="00BD67F0"/>
    <w:rsid w:val="00BD736A"/>
    <w:rsid w:val="00BE2EC0"/>
    <w:rsid w:val="00C11BD1"/>
    <w:rsid w:val="00C13CCC"/>
    <w:rsid w:val="00C2310B"/>
    <w:rsid w:val="00C310F7"/>
    <w:rsid w:val="00C404EB"/>
    <w:rsid w:val="00C45FA4"/>
    <w:rsid w:val="00C51758"/>
    <w:rsid w:val="00C518B1"/>
    <w:rsid w:val="00C73B67"/>
    <w:rsid w:val="00CA1FBD"/>
    <w:rsid w:val="00CC2040"/>
    <w:rsid w:val="00CD352E"/>
    <w:rsid w:val="00CD71CA"/>
    <w:rsid w:val="00CE014D"/>
    <w:rsid w:val="00CE6E83"/>
    <w:rsid w:val="00D01181"/>
    <w:rsid w:val="00D04108"/>
    <w:rsid w:val="00D14058"/>
    <w:rsid w:val="00D20822"/>
    <w:rsid w:val="00D306C3"/>
    <w:rsid w:val="00D65F18"/>
    <w:rsid w:val="00D74FFF"/>
    <w:rsid w:val="00D90222"/>
    <w:rsid w:val="00D96F71"/>
    <w:rsid w:val="00DB22EB"/>
    <w:rsid w:val="00DB469C"/>
    <w:rsid w:val="00DB6A64"/>
    <w:rsid w:val="00DC0C68"/>
    <w:rsid w:val="00DC431B"/>
    <w:rsid w:val="00DC61FF"/>
    <w:rsid w:val="00DD2627"/>
    <w:rsid w:val="00DD5608"/>
    <w:rsid w:val="00DE090E"/>
    <w:rsid w:val="00DE5287"/>
    <w:rsid w:val="00DF2181"/>
    <w:rsid w:val="00E12FB4"/>
    <w:rsid w:val="00E16DD5"/>
    <w:rsid w:val="00E252D1"/>
    <w:rsid w:val="00E447E6"/>
    <w:rsid w:val="00E63A95"/>
    <w:rsid w:val="00E678AA"/>
    <w:rsid w:val="00E71AB2"/>
    <w:rsid w:val="00EC4533"/>
    <w:rsid w:val="00ED43FA"/>
    <w:rsid w:val="00EE24E5"/>
    <w:rsid w:val="00EF51DF"/>
    <w:rsid w:val="00EF6E47"/>
    <w:rsid w:val="00F33CB6"/>
    <w:rsid w:val="00F33EFE"/>
    <w:rsid w:val="00F349D4"/>
    <w:rsid w:val="00F44AEE"/>
    <w:rsid w:val="00F44EA0"/>
    <w:rsid w:val="00F5642D"/>
    <w:rsid w:val="00F60D1E"/>
    <w:rsid w:val="00F62170"/>
    <w:rsid w:val="00F70E98"/>
    <w:rsid w:val="00F73B77"/>
    <w:rsid w:val="00F856E0"/>
    <w:rsid w:val="00F92EB7"/>
    <w:rsid w:val="00FA1649"/>
    <w:rsid w:val="00FA3A75"/>
    <w:rsid w:val="00FA4DE5"/>
    <w:rsid w:val="00FB3298"/>
    <w:rsid w:val="00FB4A6A"/>
    <w:rsid w:val="00FC3F42"/>
    <w:rsid w:val="00FE502F"/>
    <w:rsid w:val="00FF2538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CA1E0"/>
  <w15:docId w15:val="{8A6AD0C4-FB09-4ECD-8FEE-D9C9010F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7714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51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91C"/>
  </w:style>
  <w:style w:type="paragraph" w:styleId="Pidipagina">
    <w:name w:val="footer"/>
    <w:basedOn w:val="Normale"/>
    <w:link w:val="PidipaginaCarattere"/>
    <w:uiPriority w:val="99"/>
    <w:unhideWhenUsed/>
    <w:rsid w:val="00251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91C"/>
  </w:style>
  <w:style w:type="character" w:styleId="Collegamentoipertestuale">
    <w:name w:val="Hyperlink"/>
    <w:basedOn w:val="Carpredefinitoparagrafo"/>
    <w:uiPriority w:val="99"/>
    <w:unhideWhenUsed/>
    <w:rsid w:val="0025191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5191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55A49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28A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51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51DF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D65F18"/>
    <w:pPr>
      <w:spacing w:after="0" w:line="240" w:lineRule="auto"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404EB"/>
    <w:rPr>
      <w:color w:val="605E5C"/>
      <w:shd w:val="clear" w:color="auto" w:fill="E1DFDD"/>
    </w:rPr>
  </w:style>
  <w:style w:type="character" w:customStyle="1" w:styleId="bumpedfont20">
    <w:name w:val="bumpedfont20"/>
    <w:basedOn w:val="Carpredefinitoparagrafo"/>
    <w:rsid w:val="004F0FE6"/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E12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.farroni@vrelations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aemmedi.it/wp-content/uploads/2016/09/am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asyogXRAvPPkjxLTvInlNFHRAw==">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F. Hoffmann-La Roche, Ltd.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Occhipinti</dc:creator>
  <cp:lastModifiedBy>Chiara Farroni</cp:lastModifiedBy>
  <cp:revision>3</cp:revision>
  <cp:lastPrinted>2023-06-07T10:31:00Z</cp:lastPrinted>
  <dcterms:created xsi:type="dcterms:W3CDTF">2023-09-19T15:53:00Z</dcterms:created>
  <dcterms:modified xsi:type="dcterms:W3CDTF">2023-09-19T15:54:00Z</dcterms:modified>
</cp:coreProperties>
</file>