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C4533" w:rsidRPr="00D96F71" w:rsidRDefault="00F856E0">
      <w:pPr>
        <w:jc w:val="center"/>
        <w:rPr>
          <w:rFonts w:ascii="Avenir Next LT Pro" w:eastAsia="Avenir" w:hAnsi="Avenir Next LT Pro" w:cs="Avenir"/>
          <w:sz w:val="24"/>
          <w:szCs w:val="24"/>
        </w:rPr>
      </w:pPr>
      <w:r w:rsidRPr="00D96F71">
        <w:rPr>
          <w:rFonts w:ascii="Avenir Next LT Pro" w:eastAsia="Avenir" w:hAnsi="Avenir Next LT Pro" w:cs="Avenir"/>
          <w:sz w:val="24"/>
          <w:szCs w:val="24"/>
        </w:rPr>
        <w:t>COMUNICATO STAMPA</w:t>
      </w:r>
    </w:p>
    <w:p w14:paraId="00000002" w14:textId="77777777" w:rsidR="00EC4533" w:rsidRPr="00D96F71" w:rsidRDefault="00F856E0">
      <w:pPr>
        <w:jc w:val="center"/>
        <w:rPr>
          <w:rFonts w:ascii="Avenir Next LT Pro" w:eastAsia="Avenir" w:hAnsi="Avenir Next LT Pro" w:cs="Avenir"/>
          <w:b/>
          <w:sz w:val="26"/>
          <w:szCs w:val="26"/>
        </w:rPr>
      </w:pPr>
      <w:r w:rsidRPr="00D96F71">
        <w:rPr>
          <w:rFonts w:ascii="Avenir Next LT Pro" w:eastAsia="Avenir" w:hAnsi="Avenir Next LT Pro" w:cs="Avenir"/>
          <w:b/>
          <w:sz w:val="26"/>
          <w:szCs w:val="26"/>
        </w:rPr>
        <w:t>Diabete e Covid-19: 50mila pazienti assistiti in telemedicina nel 2020 secondo la r</w:t>
      </w:r>
      <w:bookmarkStart w:id="0" w:name="_GoBack"/>
      <w:bookmarkEnd w:id="0"/>
      <w:r w:rsidRPr="00D96F71">
        <w:rPr>
          <w:rFonts w:ascii="Avenir Next LT Pro" w:eastAsia="Avenir" w:hAnsi="Avenir Next LT Pro" w:cs="Avenir"/>
          <w:b/>
          <w:sz w:val="26"/>
          <w:szCs w:val="26"/>
        </w:rPr>
        <w:t>ilevazione della Monografia Annali AMD 2021</w:t>
      </w:r>
    </w:p>
    <w:p w14:paraId="00000003" w14:textId="77777777" w:rsidR="00EC4533" w:rsidRPr="00D96F71" w:rsidRDefault="00F856E0">
      <w:pPr>
        <w:jc w:val="center"/>
        <w:rPr>
          <w:rFonts w:ascii="Avenir Next LT Pro" w:eastAsia="Avenir" w:hAnsi="Avenir Next LT Pro" w:cs="Avenir"/>
          <w:b/>
          <w:i/>
          <w:sz w:val="21"/>
          <w:szCs w:val="21"/>
        </w:rPr>
      </w:pPr>
      <w:r w:rsidRPr="00D96F71">
        <w:rPr>
          <w:rFonts w:ascii="Avenir Next LT Pro" w:eastAsia="Avenir" w:hAnsi="Avenir Next LT Pro" w:cs="Avenir"/>
          <w:sz w:val="21"/>
          <w:szCs w:val="21"/>
        </w:rPr>
        <w:t xml:space="preserve">Il Presidente Di Cianni: </w:t>
      </w:r>
      <w:r w:rsidRPr="00D96F71">
        <w:rPr>
          <w:rFonts w:ascii="Avenir Next LT Pro" w:eastAsia="Avenir" w:hAnsi="Avenir Next LT Pro" w:cs="Avenir"/>
          <w:i/>
          <w:sz w:val="21"/>
          <w:szCs w:val="21"/>
        </w:rPr>
        <w:t>“Telemedicina strumento efficace per l’assistenza alle persone con diabete. Necessario trasformarla in un percorso di cura strutturato e ben codificato e ampliarne l’utilizzo”</w:t>
      </w:r>
    </w:p>
    <w:p w14:paraId="00000004" w14:textId="77777777" w:rsidR="00EC4533" w:rsidRPr="00D96F71" w:rsidRDefault="00EC4533">
      <w:pPr>
        <w:jc w:val="both"/>
        <w:rPr>
          <w:rFonts w:ascii="Avenir Next LT Pro" w:eastAsia="Avenir" w:hAnsi="Avenir Next LT Pro" w:cs="Avenir"/>
          <w:sz w:val="23"/>
          <w:szCs w:val="23"/>
        </w:rPr>
      </w:pPr>
    </w:p>
    <w:p w14:paraId="00000005" w14:textId="05B35FC0" w:rsidR="00EC4533" w:rsidRPr="00D96F71" w:rsidRDefault="00F856E0">
      <w:pPr>
        <w:jc w:val="both"/>
        <w:rPr>
          <w:rFonts w:ascii="Avenir Next LT Pro" w:eastAsia="Avenir" w:hAnsi="Avenir Next LT Pro" w:cs="Avenir"/>
          <w:sz w:val="21"/>
          <w:szCs w:val="21"/>
        </w:rPr>
      </w:pPr>
      <w:r w:rsidRPr="00D96F71">
        <w:rPr>
          <w:rFonts w:ascii="Avenir Next LT Pro" w:eastAsia="Avenir" w:hAnsi="Avenir Next LT Pro" w:cs="Avenir"/>
          <w:sz w:val="21"/>
          <w:szCs w:val="21"/>
        </w:rPr>
        <w:t xml:space="preserve">Roma, </w:t>
      </w:r>
      <w:r w:rsidR="00A91CC4">
        <w:rPr>
          <w:rFonts w:ascii="Avenir Next LT Pro" w:eastAsia="Avenir" w:hAnsi="Avenir Next LT Pro" w:cs="Avenir"/>
          <w:sz w:val="21"/>
          <w:szCs w:val="21"/>
        </w:rPr>
        <w:t>11</w:t>
      </w:r>
      <w:r w:rsidRPr="00D96F71">
        <w:rPr>
          <w:rFonts w:ascii="Avenir Next LT Pro" w:eastAsia="Avenir" w:hAnsi="Avenir Next LT Pro" w:cs="Avenir"/>
          <w:sz w:val="21"/>
          <w:szCs w:val="21"/>
        </w:rPr>
        <w:t xml:space="preserve"> luglio 2022 – </w:t>
      </w:r>
      <w:r w:rsidRPr="00D96F71">
        <w:rPr>
          <w:rFonts w:ascii="Avenir Next LT Pro" w:eastAsia="Avenir" w:hAnsi="Avenir Next LT Pro" w:cs="Avenir"/>
          <w:b/>
          <w:sz w:val="21"/>
          <w:szCs w:val="21"/>
        </w:rPr>
        <w:t>Sono circa 50mila le persone con diabete assistite in telemedicina</w:t>
      </w:r>
      <w:r w:rsidRPr="00D96F71">
        <w:rPr>
          <w:rFonts w:ascii="Avenir Next LT Pro" w:eastAsia="Avenir" w:hAnsi="Avenir Next LT Pro" w:cs="Avenir"/>
          <w:sz w:val="21"/>
          <w:szCs w:val="21"/>
        </w:rPr>
        <w:t xml:space="preserve"> nel corso del </w:t>
      </w:r>
      <w:r w:rsidRPr="00D96F71">
        <w:rPr>
          <w:rFonts w:ascii="Avenir Next LT Pro" w:eastAsia="Avenir" w:hAnsi="Avenir Next LT Pro" w:cs="Avenir"/>
          <w:b/>
          <w:sz w:val="21"/>
          <w:szCs w:val="21"/>
        </w:rPr>
        <w:t>2020</w:t>
      </w:r>
      <w:r w:rsidRPr="00D96F71">
        <w:rPr>
          <w:rFonts w:ascii="Avenir Next LT Pro" w:eastAsia="Avenir" w:hAnsi="Avenir Next LT Pro" w:cs="Avenir"/>
          <w:sz w:val="21"/>
          <w:szCs w:val="21"/>
        </w:rPr>
        <w:t xml:space="preserve">, l’anno più duro della pandemia. Si tratta di pazienti che hanno ricevuto almeno una prestazione di telemonitoraggio o televisita: 46.424 pazienti con diabete tipo 2 (DM2) e 2.624 con diabete tipo 1 (DM1). Nello stesso periodo, l’emergenza Covid ha causato una riduzione delle visite in presenza del </w:t>
      </w:r>
      <w:r w:rsidRPr="00D96F71">
        <w:rPr>
          <w:rFonts w:ascii="Avenir Next LT Pro" w:eastAsia="Avenir" w:hAnsi="Avenir Next LT Pro" w:cs="Avenir"/>
          <w:b/>
          <w:sz w:val="21"/>
          <w:szCs w:val="21"/>
        </w:rPr>
        <w:t>30%</w:t>
      </w:r>
      <w:r w:rsidRPr="00D96F71">
        <w:rPr>
          <w:rFonts w:ascii="Avenir Next LT Pro" w:eastAsia="Avenir" w:hAnsi="Avenir Next LT Pro" w:cs="Avenir"/>
          <w:sz w:val="21"/>
          <w:szCs w:val="21"/>
        </w:rPr>
        <w:t xml:space="preserve"> per i pazienti DM2 e del </w:t>
      </w:r>
      <w:r w:rsidRPr="00D96F71">
        <w:rPr>
          <w:rFonts w:ascii="Avenir Next LT Pro" w:eastAsia="Avenir" w:hAnsi="Avenir Next LT Pro" w:cs="Avenir"/>
          <w:b/>
          <w:sz w:val="21"/>
          <w:szCs w:val="21"/>
        </w:rPr>
        <w:t>17%</w:t>
      </w:r>
      <w:r w:rsidRPr="00D96F71">
        <w:rPr>
          <w:rFonts w:ascii="Avenir Next LT Pro" w:eastAsia="Avenir" w:hAnsi="Avenir Next LT Pro" w:cs="Avenir"/>
          <w:sz w:val="21"/>
          <w:szCs w:val="21"/>
        </w:rPr>
        <w:t xml:space="preserve"> per i pazienti DM1. La principale conseguenza della riduzione dei consulti medici, sia in presenza, sia da remoto, dovuta alla sospensione delle prestazioni non urgenti e all’impegno dei diabetologi nei reparti Covid, è stato il crollo </w:t>
      </w:r>
      <w:r w:rsidRPr="00D96F71">
        <w:rPr>
          <w:rFonts w:ascii="Avenir Next LT Pro" w:eastAsia="Avenir" w:hAnsi="Avenir Next LT Pro" w:cs="Avenir"/>
          <w:b/>
          <w:sz w:val="21"/>
          <w:szCs w:val="21"/>
        </w:rPr>
        <w:t>degli screening sulle complicanze</w:t>
      </w:r>
      <w:r w:rsidRPr="00D96F71">
        <w:rPr>
          <w:rFonts w:ascii="Avenir Next LT Pro" w:eastAsia="Avenir" w:hAnsi="Avenir Next LT Pro" w:cs="Avenir"/>
          <w:sz w:val="21"/>
          <w:szCs w:val="21"/>
        </w:rPr>
        <w:t xml:space="preserve">, con importanti ripercussioni sullo stato di salute delle persone con diabete.  </w:t>
      </w:r>
    </w:p>
    <w:p w14:paraId="00000006" w14:textId="63DC60C3" w:rsidR="00EC4533" w:rsidRPr="00D96F71" w:rsidRDefault="00F856E0">
      <w:pPr>
        <w:jc w:val="both"/>
        <w:rPr>
          <w:rFonts w:ascii="Avenir Next LT Pro" w:eastAsia="Avenir" w:hAnsi="Avenir Next LT Pro" w:cs="Avenir"/>
          <w:sz w:val="21"/>
          <w:szCs w:val="21"/>
        </w:rPr>
      </w:pPr>
      <w:r w:rsidRPr="00D96F71">
        <w:rPr>
          <w:rFonts w:ascii="Avenir Next LT Pro" w:eastAsia="Avenir" w:hAnsi="Avenir Next LT Pro" w:cs="Avenir"/>
          <w:sz w:val="21"/>
          <w:szCs w:val="21"/>
        </w:rPr>
        <w:t xml:space="preserve">È questa la fotografia scattata dalla </w:t>
      </w:r>
      <w:r w:rsidRPr="00D96F71">
        <w:rPr>
          <w:rFonts w:ascii="Avenir Next LT Pro" w:eastAsia="Avenir" w:hAnsi="Avenir Next LT Pro" w:cs="Avenir"/>
          <w:b/>
          <w:sz w:val="21"/>
          <w:szCs w:val="21"/>
        </w:rPr>
        <w:t>Monografia Annali AMD 2021</w:t>
      </w:r>
      <w:r w:rsidRPr="00D96F71">
        <w:rPr>
          <w:rFonts w:ascii="Avenir Next LT Pro" w:eastAsia="Avenir" w:hAnsi="Avenir Next LT Pro" w:cs="Avenir"/>
          <w:sz w:val="21"/>
          <w:szCs w:val="21"/>
        </w:rPr>
        <w:t xml:space="preserve"> “</w:t>
      </w:r>
      <w:r w:rsidRPr="00D96F71">
        <w:rPr>
          <w:rFonts w:ascii="Avenir Next LT Pro" w:eastAsia="Avenir" w:hAnsi="Avenir Next LT Pro" w:cs="Avenir"/>
          <w:i/>
          <w:sz w:val="21"/>
          <w:szCs w:val="21"/>
        </w:rPr>
        <w:t>L’impatto dell’emergenza Covid-19 sulla gestione dei pazienti con diabete e il contributo della telemedicina</w:t>
      </w:r>
      <w:r w:rsidRPr="00D96F71">
        <w:rPr>
          <w:rFonts w:ascii="Avenir Next LT Pro" w:eastAsia="Avenir" w:hAnsi="Avenir Next LT Pro" w:cs="Avenir"/>
          <w:sz w:val="21"/>
          <w:szCs w:val="21"/>
        </w:rPr>
        <w:t xml:space="preserve">” realizzata dall’Associazione Medici Diabetologi (AMD) e dalla Fondazione AMD Onlus con il supporto non condizionante di </w:t>
      </w:r>
      <w:sdt>
        <w:sdtPr>
          <w:rPr>
            <w:rFonts w:ascii="Avenir Next LT Pro" w:hAnsi="Avenir Next LT Pro"/>
          </w:rPr>
          <w:tag w:val="goog_rdk_0"/>
          <w:id w:val="1964072088"/>
        </w:sdtPr>
        <w:sdtEndPr/>
        <w:sdtContent/>
      </w:sdt>
      <w:r w:rsidRPr="00D96F71">
        <w:rPr>
          <w:rFonts w:ascii="Avenir Next LT Pro" w:eastAsia="Avenir" w:hAnsi="Avenir Next LT Pro" w:cs="Avenir"/>
          <w:sz w:val="21"/>
          <w:szCs w:val="21"/>
        </w:rPr>
        <w:t>Roche</w:t>
      </w:r>
      <w:r w:rsidR="004F55C8" w:rsidRPr="00D96F71">
        <w:rPr>
          <w:rFonts w:ascii="Avenir Next LT Pro" w:eastAsia="Avenir" w:hAnsi="Avenir Next LT Pro" w:cs="Avenir"/>
          <w:sz w:val="21"/>
          <w:szCs w:val="21"/>
        </w:rPr>
        <w:t xml:space="preserve"> Diabetes Care Italy </w:t>
      </w:r>
      <w:r w:rsidR="00D96F71" w:rsidRPr="00D96F71">
        <w:rPr>
          <w:rFonts w:ascii="Avenir Next LT Pro" w:eastAsia="Avenir" w:hAnsi="Avenir Next LT Pro" w:cs="Avenir"/>
          <w:sz w:val="21"/>
          <w:szCs w:val="21"/>
        </w:rPr>
        <w:t>S.p.A.</w:t>
      </w:r>
      <w:r w:rsidRPr="00D96F71">
        <w:rPr>
          <w:rFonts w:ascii="Avenir Next LT Pro" w:eastAsia="Avenir" w:hAnsi="Avenir Next LT Pro" w:cs="Avenir"/>
          <w:sz w:val="21"/>
          <w:szCs w:val="21"/>
        </w:rPr>
        <w:t xml:space="preserve"> Lo studio ha misurato il volume di attività diabetologica erogata in telemedicina e valutato la qualità delle cure offerte dagli specialisti con una diversa modalità di assistenza. La Monografia ha analizzato i dati messi a disposizione dai 282 Centri di diabetologia afferenti al Database Annali AMD attivi sul territorio nazionale. </w:t>
      </w:r>
    </w:p>
    <w:p w14:paraId="00000007" w14:textId="04AF3D98" w:rsidR="00EC4533" w:rsidRPr="00D96F71" w:rsidRDefault="00F856E0">
      <w:pPr>
        <w:jc w:val="both"/>
        <w:rPr>
          <w:rFonts w:ascii="Avenir Next LT Pro" w:eastAsia="Avenir" w:hAnsi="Avenir Next LT Pro" w:cs="Avenir"/>
          <w:sz w:val="21"/>
          <w:szCs w:val="21"/>
        </w:rPr>
      </w:pPr>
      <w:r w:rsidRPr="00D96F71">
        <w:rPr>
          <w:rFonts w:ascii="Avenir Next LT Pro" w:eastAsia="Avenir" w:hAnsi="Avenir Next LT Pro" w:cs="Avenir"/>
          <w:sz w:val="21"/>
          <w:szCs w:val="21"/>
        </w:rPr>
        <w:t xml:space="preserve">Dalla Monografia emerge che i </w:t>
      </w:r>
      <w:r w:rsidRPr="00D96F71">
        <w:rPr>
          <w:rFonts w:ascii="Avenir Next LT Pro" w:eastAsia="Avenir" w:hAnsi="Avenir Next LT Pro" w:cs="Avenir"/>
          <w:b/>
          <w:sz w:val="21"/>
          <w:szCs w:val="21"/>
        </w:rPr>
        <w:t>pazienti fragili</w:t>
      </w:r>
      <w:r w:rsidRPr="00D96F71">
        <w:rPr>
          <w:rFonts w:ascii="Avenir Next LT Pro" w:eastAsia="Avenir" w:hAnsi="Avenir Next LT Pro" w:cs="Avenir"/>
          <w:sz w:val="21"/>
          <w:szCs w:val="21"/>
        </w:rPr>
        <w:t xml:space="preserve"> sono stati </w:t>
      </w:r>
      <w:sdt>
        <w:sdtPr>
          <w:rPr>
            <w:rFonts w:ascii="Avenir Next LT Pro" w:hAnsi="Avenir Next LT Pro"/>
          </w:rPr>
          <w:tag w:val="goog_rdk_1"/>
          <w:id w:val="1272043534"/>
        </w:sdtPr>
        <w:sdtEndPr/>
        <w:sdtContent/>
      </w:sdt>
      <w:r w:rsidRPr="00D96F71">
        <w:rPr>
          <w:rFonts w:ascii="Avenir Next LT Pro" w:eastAsia="Avenir" w:hAnsi="Avenir Next LT Pro" w:cs="Avenir"/>
          <w:sz w:val="21"/>
          <w:szCs w:val="21"/>
        </w:rPr>
        <w:t>la categoria che ha più beneficiato delle prestazioni di telemedicina</w:t>
      </w:r>
      <w:r w:rsidR="00EF51DF" w:rsidRPr="00D96F71">
        <w:rPr>
          <w:rFonts w:ascii="Avenir Next LT Pro" w:eastAsia="Avenir" w:hAnsi="Avenir Next LT Pro" w:cs="Avenir"/>
          <w:sz w:val="21"/>
          <w:szCs w:val="21"/>
        </w:rPr>
        <w:t xml:space="preserve">, in linea con quanto previsto dal PDTA per l’adozione della telemedicina </w:t>
      </w:r>
      <w:r w:rsidR="00D96F71" w:rsidRPr="00D96F71">
        <w:rPr>
          <w:rFonts w:ascii="Avenir Next LT Pro" w:eastAsia="Avenir" w:hAnsi="Avenir Next LT Pro" w:cs="Avenir"/>
          <w:sz w:val="21"/>
          <w:szCs w:val="21"/>
        </w:rPr>
        <w:t xml:space="preserve">elaborato </w:t>
      </w:r>
      <w:r w:rsidR="00EF51DF" w:rsidRPr="00D96F71">
        <w:rPr>
          <w:rFonts w:ascii="Avenir Next LT Pro" w:eastAsia="Avenir" w:hAnsi="Avenir Next LT Pro" w:cs="Avenir"/>
          <w:sz w:val="21"/>
          <w:szCs w:val="21"/>
        </w:rPr>
        <w:t>proprio da AMD-SID-SI</w:t>
      </w:r>
      <w:r w:rsidR="00D96F71" w:rsidRPr="00D96F71">
        <w:rPr>
          <w:rFonts w:ascii="Avenir Next LT Pro" w:eastAsia="Avenir" w:hAnsi="Avenir Next LT Pro" w:cs="Avenir"/>
          <w:sz w:val="21"/>
          <w:szCs w:val="21"/>
        </w:rPr>
        <w:t>E durante il primo lockdown</w:t>
      </w:r>
      <w:r w:rsidR="00EF51DF" w:rsidRPr="00D96F71">
        <w:rPr>
          <w:rFonts w:ascii="Avenir Next LT Pro" w:eastAsia="Avenir" w:hAnsi="Avenir Next LT Pro" w:cs="Avenir"/>
          <w:sz w:val="21"/>
          <w:szCs w:val="21"/>
        </w:rPr>
        <w:t xml:space="preserve">: </w:t>
      </w:r>
      <w:r w:rsidRPr="00D96F71">
        <w:rPr>
          <w:rFonts w:ascii="Avenir Next LT Pro" w:eastAsia="Avenir" w:hAnsi="Avenir Next LT Pro" w:cs="Avenir"/>
          <w:sz w:val="21"/>
          <w:szCs w:val="21"/>
        </w:rPr>
        <w:t xml:space="preserve"> si è trattato soprattutto di </w:t>
      </w:r>
      <w:r w:rsidRPr="00D96F71">
        <w:rPr>
          <w:rFonts w:ascii="Avenir Next LT Pro" w:eastAsia="Avenir" w:hAnsi="Avenir Next LT Pro" w:cs="Avenir"/>
          <w:b/>
          <w:sz w:val="21"/>
          <w:szCs w:val="21"/>
        </w:rPr>
        <w:t>anziani con comorbilità e complicanze</w:t>
      </w:r>
      <w:r w:rsidRPr="00D96F71">
        <w:rPr>
          <w:rFonts w:ascii="Avenir Next LT Pro" w:eastAsia="Avenir" w:hAnsi="Avenir Next LT Pro" w:cs="Avenir"/>
          <w:sz w:val="21"/>
          <w:szCs w:val="21"/>
        </w:rPr>
        <w:t xml:space="preserve">, assistiti da remoto per evitare di esporli al rischio di contagio, ma anche di </w:t>
      </w:r>
      <w:r w:rsidRPr="00D96F71">
        <w:rPr>
          <w:rFonts w:ascii="Avenir Next LT Pro" w:eastAsia="Avenir" w:hAnsi="Avenir Next LT Pro" w:cs="Avenir"/>
          <w:b/>
          <w:sz w:val="21"/>
          <w:szCs w:val="21"/>
        </w:rPr>
        <w:t>pazienti con un buon controllo metabolico</w:t>
      </w:r>
      <w:r w:rsidRPr="00D96F71">
        <w:rPr>
          <w:rFonts w:ascii="Avenir Next LT Pro" w:eastAsia="Avenir" w:hAnsi="Avenir Next LT Pro" w:cs="Avenir"/>
          <w:sz w:val="21"/>
          <w:szCs w:val="21"/>
        </w:rPr>
        <w:t xml:space="preserve"> e </w:t>
      </w:r>
      <w:r w:rsidRPr="00D96F71">
        <w:rPr>
          <w:rFonts w:ascii="Avenir Next LT Pro" w:eastAsia="Avenir" w:hAnsi="Avenir Next LT Pro" w:cs="Avenir"/>
          <w:b/>
          <w:sz w:val="21"/>
          <w:szCs w:val="21"/>
        </w:rPr>
        <w:t>trattati con insulina</w:t>
      </w:r>
      <w:r w:rsidRPr="00D96F71">
        <w:rPr>
          <w:rFonts w:ascii="Avenir Next LT Pro" w:eastAsia="Avenir" w:hAnsi="Avenir Next LT Pro" w:cs="Avenir"/>
          <w:sz w:val="21"/>
          <w:szCs w:val="21"/>
        </w:rPr>
        <w:t xml:space="preserve">, dunque con minori necessità di cambiare la terapia e per questo più gestibili a distanza. Le persone con DT1 assistite in telemedicina hanno rappresentato un numero esiguo: si tratta in generale di pazienti più giovani, </w:t>
      </w:r>
      <w:r w:rsidRPr="00D96F71">
        <w:rPr>
          <w:rFonts w:ascii="Avenir Next LT Pro" w:eastAsia="Avenir" w:hAnsi="Avenir Next LT Pro" w:cs="Avenir"/>
          <w:i/>
          <w:sz w:val="21"/>
          <w:szCs w:val="21"/>
        </w:rPr>
        <w:t>digital friendly</w:t>
      </w:r>
      <w:r w:rsidRPr="00D96F71">
        <w:rPr>
          <w:rFonts w:ascii="Avenir Next LT Pro" w:eastAsia="Avenir" w:hAnsi="Avenir Next LT Pro" w:cs="Avenir"/>
          <w:sz w:val="21"/>
          <w:szCs w:val="21"/>
        </w:rPr>
        <w:t xml:space="preserve">, già abituati all’utilizzo di strumenti digitali che hanno potuto scaricare direttamente in cartella i dati del monitoraggio. </w:t>
      </w:r>
    </w:p>
    <w:p w14:paraId="00000008" w14:textId="77777777" w:rsidR="00EC4533" w:rsidRPr="00D96F71" w:rsidRDefault="00F856E0">
      <w:pPr>
        <w:jc w:val="both"/>
        <w:rPr>
          <w:rFonts w:ascii="Avenir Next LT Pro" w:eastAsia="Avenir" w:hAnsi="Avenir Next LT Pro" w:cs="Avenir"/>
          <w:i/>
          <w:sz w:val="21"/>
          <w:szCs w:val="21"/>
        </w:rPr>
      </w:pPr>
      <w:bookmarkStart w:id="1" w:name="_heading=h.gjdgxs" w:colFirst="0" w:colLast="0"/>
      <w:bookmarkEnd w:id="1"/>
      <w:r w:rsidRPr="00D96F71">
        <w:rPr>
          <w:rFonts w:ascii="Avenir Next LT Pro" w:eastAsia="Avenir" w:hAnsi="Avenir Next LT Pro" w:cs="Avenir"/>
          <w:sz w:val="21"/>
          <w:szCs w:val="21"/>
        </w:rPr>
        <w:t>“</w:t>
      </w:r>
      <w:r w:rsidRPr="00D96F71">
        <w:rPr>
          <w:rFonts w:ascii="Avenir Next LT Pro" w:eastAsia="Avenir" w:hAnsi="Avenir Next LT Pro" w:cs="Avenir"/>
          <w:i/>
          <w:sz w:val="21"/>
          <w:szCs w:val="21"/>
        </w:rPr>
        <w:t xml:space="preserve">Nel periodo di massima crisi per il nostro Servizio Sanitario Nazionale, la diabetologia italiana, così come tante altre specialità, ha voluto dare una risposta concreta ai bisogni di salute dei pazienti e lo ha fatto </w:t>
      </w:r>
      <w:proofErr w:type="gramStart"/>
      <w:r w:rsidRPr="00D96F71">
        <w:rPr>
          <w:rFonts w:ascii="Avenir Next LT Pro" w:eastAsia="Avenir" w:hAnsi="Avenir Next LT Pro" w:cs="Avenir"/>
          <w:i/>
          <w:sz w:val="21"/>
          <w:szCs w:val="21"/>
        </w:rPr>
        <w:t>mettendo in campo</w:t>
      </w:r>
      <w:proofErr w:type="gramEnd"/>
      <w:r w:rsidRPr="00D96F71">
        <w:rPr>
          <w:rFonts w:ascii="Avenir Next LT Pro" w:eastAsia="Avenir" w:hAnsi="Avenir Next LT Pro" w:cs="Avenir"/>
          <w:i/>
          <w:sz w:val="21"/>
          <w:szCs w:val="21"/>
        </w:rPr>
        <w:t xml:space="preserve"> strumenti “nuovi” tesi a garantire la continuità assistenziale”, </w:t>
      </w:r>
      <w:r w:rsidRPr="00D96F71">
        <w:rPr>
          <w:rFonts w:ascii="Avenir Next LT Pro" w:eastAsia="Avenir" w:hAnsi="Avenir Next LT Pro" w:cs="Avenir"/>
          <w:sz w:val="21"/>
          <w:szCs w:val="21"/>
        </w:rPr>
        <w:t>commentano Valeria Manicardi, Coordinatore del Gruppo Annali 2017-2021 e Giuseppina Russo, attuale Coordinatore del Gruppo. “</w:t>
      </w:r>
      <w:r w:rsidRPr="00D96F71">
        <w:rPr>
          <w:rFonts w:ascii="Avenir Next LT Pro" w:eastAsia="Avenir" w:hAnsi="Avenir Next LT Pro" w:cs="Avenir"/>
          <w:i/>
          <w:sz w:val="21"/>
          <w:szCs w:val="21"/>
        </w:rPr>
        <w:t xml:space="preserve">La presente Monografia ha voluto misurare il valore di questo impegno da un punto di vista qualitativo e quantitativo. I numeri che abbiamo raccolto, probabilmente sottostimati considerando che la possibilità di registrazione di prestazioni in telemedicina è stata approvata solo in un secondo momento, ci confermano che grazie alla telemedicina e al recupero delle visite in presenza siamo riusciti a garantire assistenza a tutta la popolazione presa in carico dai 282 Centri afferenti al database Annali AMD, ma anche che attraverso l’assistenza da remoto è possibile mantenere elevati standard di qualità della cura ”. </w:t>
      </w:r>
    </w:p>
    <w:p w14:paraId="00000009" w14:textId="3B48C406" w:rsidR="00EC4533" w:rsidRPr="00D96F71" w:rsidRDefault="00F856E0">
      <w:pPr>
        <w:jc w:val="both"/>
        <w:rPr>
          <w:rFonts w:ascii="Avenir Next LT Pro" w:eastAsia="Avenir" w:hAnsi="Avenir Next LT Pro" w:cs="Avenir"/>
          <w:i/>
          <w:sz w:val="21"/>
          <w:szCs w:val="21"/>
        </w:rPr>
      </w:pPr>
      <w:r w:rsidRPr="00D96F71">
        <w:rPr>
          <w:rFonts w:ascii="Avenir Next LT Pro" w:eastAsia="Avenir" w:hAnsi="Avenir Next LT Pro" w:cs="Avenir"/>
          <w:i/>
          <w:sz w:val="21"/>
          <w:szCs w:val="21"/>
        </w:rPr>
        <w:lastRenderedPageBreak/>
        <w:t xml:space="preserve">“L’importante lavoro svolto con la realizzazione di questa edizione della Monografia ci consente di affermare - dati alla mano - che la telemedicina </w:t>
      </w:r>
      <w:sdt>
        <w:sdtPr>
          <w:rPr>
            <w:rFonts w:ascii="Avenir Next LT Pro" w:hAnsi="Avenir Next LT Pro"/>
          </w:rPr>
          <w:tag w:val="goog_rdk_2"/>
          <w:id w:val="-1533255134"/>
        </w:sdtPr>
        <w:sdtEndPr/>
        <w:sdtContent/>
      </w:sdt>
      <w:r w:rsidRPr="00D96F71">
        <w:rPr>
          <w:rFonts w:ascii="Avenir Next LT Pro" w:eastAsia="Avenir" w:hAnsi="Avenir Next LT Pro" w:cs="Avenir"/>
          <w:i/>
          <w:sz w:val="21"/>
          <w:szCs w:val="21"/>
        </w:rPr>
        <w:t xml:space="preserve">è un prezioso ed efficace strumento per la presa in carico </w:t>
      </w:r>
      <w:sdt>
        <w:sdtPr>
          <w:rPr>
            <w:rFonts w:ascii="Avenir Next LT Pro" w:hAnsi="Avenir Next LT Pro"/>
          </w:rPr>
          <w:tag w:val="goog_rdk_3"/>
          <w:id w:val="1720865456"/>
        </w:sdtPr>
        <w:sdtEndPr/>
        <w:sdtContent/>
      </w:sdt>
      <w:r w:rsidRPr="00D96F71">
        <w:rPr>
          <w:rFonts w:ascii="Avenir Next LT Pro" w:eastAsia="Avenir" w:hAnsi="Avenir Next LT Pro" w:cs="Avenir"/>
          <w:i/>
          <w:sz w:val="21"/>
          <w:szCs w:val="21"/>
        </w:rPr>
        <w:t>di specifiche categorie di pazienti</w:t>
      </w:r>
      <w:r w:rsidR="00EF51DF" w:rsidRPr="00D96F71">
        <w:rPr>
          <w:rFonts w:ascii="Avenir Next LT Pro" w:eastAsia="Avenir" w:hAnsi="Avenir Next LT Pro" w:cs="Avenir"/>
          <w:i/>
          <w:sz w:val="21"/>
          <w:szCs w:val="21"/>
        </w:rPr>
        <w:t>, non solo i pazienti con diabete tipo 1, ma anche</w:t>
      </w:r>
      <w:r w:rsidRPr="00D96F71">
        <w:rPr>
          <w:rFonts w:ascii="Avenir Next LT Pro" w:eastAsia="Avenir" w:hAnsi="Avenir Next LT Pro" w:cs="Avenir"/>
          <w:i/>
          <w:sz w:val="21"/>
          <w:szCs w:val="21"/>
        </w:rPr>
        <w:t xml:space="preserve"> gli anziani fragili – supportati da familiari o caregiver - e le donne con diabete gestazionale”, </w:t>
      </w:r>
      <w:r w:rsidRPr="00D96F71">
        <w:rPr>
          <w:rFonts w:ascii="Avenir Next LT Pro" w:eastAsia="Avenir" w:hAnsi="Avenir Next LT Pro" w:cs="Avenir"/>
          <w:sz w:val="21"/>
          <w:szCs w:val="21"/>
        </w:rPr>
        <w:t xml:space="preserve">commenta </w:t>
      </w:r>
      <w:r w:rsidRPr="00D96F71">
        <w:rPr>
          <w:rFonts w:ascii="Avenir Next LT Pro" w:eastAsia="Avenir" w:hAnsi="Avenir Next LT Pro" w:cs="Avenir"/>
          <w:b/>
          <w:sz w:val="21"/>
          <w:szCs w:val="21"/>
        </w:rPr>
        <w:t>Graziano Di Cianni</w:t>
      </w:r>
      <w:r w:rsidRPr="00D96F71">
        <w:rPr>
          <w:rFonts w:ascii="Avenir Next LT Pro" w:eastAsia="Avenir" w:hAnsi="Avenir Next LT Pro" w:cs="Avenir"/>
          <w:sz w:val="21"/>
          <w:szCs w:val="21"/>
        </w:rPr>
        <w:t>, Presidente AMD. “</w:t>
      </w:r>
      <w:r w:rsidRPr="00D96F71">
        <w:rPr>
          <w:rFonts w:ascii="Avenir Next LT Pro" w:eastAsia="Avenir" w:hAnsi="Avenir Next LT Pro" w:cs="Avenir"/>
          <w:i/>
          <w:sz w:val="21"/>
          <w:szCs w:val="21"/>
        </w:rPr>
        <w:t>Sin dalla prima fase della pandemia, insieme a SID e SIE abbiamo definito un PDTA per l’adozione della telemedicina.</w:t>
      </w:r>
      <w:r w:rsidRPr="00D96F71">
        <w:rPr>
          <w:rFonts w:ascii="Avenir Next LT Pro" w:eastAsia="Avenir" w:hAnsi="Avenir Next LT Pro" w:cs="Avenir"/>
          <w:sz w:val="21"/>
          <w:szCs w:val="21"/>
        </w:rPr>
        <w:t xml:space="preserve"> </w:t>
      </w:r>
      <w:r w:rsidRPr="00D96F71">
        <w:rPr>
          <w:rFonts w:ascii="Avenir Next LT Pro" w:eastAsia="Avenir" w:hAnsi="Avenir Next LT Pro" w:cs="Avenir"/>
          <w:i/>
          <w:sz w:val="21"/>
          <w:szCs w:val="21"/>
        </w:rPr>
        <w:t>Alla luce degli obiettivi del PNRR,</w:t>
      </w:r>
      <w:r w:rsidRPr="00D96F71">
        <w:rPr>
          <w:rFonts w:ascii="Avenir Next LT Pro" w:eastAsia="Avenir" w:hAnsi="Avenir Next LT Pro" w:cs="Avenir"/>
          <w:sz w:val="21"/>
          <w:szCs w:val="21"/>
        </w:rPr>
        <w:t xml:space="preserve"> </w:t>
      </w:r>
      <w:r w:rsidRPr="00D96F71">
        <w:rPr>
          <w:rFonts w:ascii="Avenir Next LT Pro" w:eastAsia="Avenir" w:hAnsi="Avenir Next LT Pro" w:cs="Avenir"/>
          <w:i/>
          <w:sz w:val="21"/>
          <w:szCs w:val="21"/>
        </w:rPr>
        <w:t xml:space="preserve">la sfida che si pone di fronte al Servizio Sanitario Nazionale per una nuova gestione delle cronicità, come lo è il diabete, è fare in modo che la telemedicina diventi un percorso di cura strutturato, ottimizzato e ben codificato in grado di inserirsi a pieno titolo quale modalità assistenziale complementare per la gestione delle persone con diabete”. </w:t>
      </w:r>
    </w:p>
    <w:p w14:paraId="0000000B" w14:textId="77777777" w:rsidR="00EC4533" w:rsidRPr="00D96F71" w:rsidRDefault="00EC4533">
      <w:pPr>
        <w:jc w:val="both"/>
        <w:rPr>
          <w:rFonts w:ascii="Avenir Next LT Pro" w:eastAsia="Avenir" w:hAnsi="Avenir Next LT Pro" w:cs="Avenir"/>
          <w:i/>
          <w:sz w:val="21"/>
          <w:szCs w:val="21"/>
        </w:rPr>
      </w:pPr>
    </w:p>
    <w:p w14:paraId="0000000C" w14:textId="77777777" w:rsidR="00EC4533" w:rsidRPr="00D96F71" w:rsidRDefault="00F856E0">
      <w:pPr>
        <w:jc w:val="both"/>
        <w:rPr>
          <w:rFonts w:ascii="Avenir Next LT Pro" w:eastAsia="Avenir" w:hAnsi="Avenir Next LT Pro" w:cs="Avenir"/>
          <w:sz w:val="21"/>
          <w:szCs w:val="21"/>
        </w:rPr>
      </w:pPr>
      <w:r w:rsidRPr="00D96F71">
        <w:rPr>
          <w:rFonts w:ascii="Avenir Next LT Pro" w:eastAsia="Avenir" w:hAnsi="Avenir Next LT Pro" w:cs="Avenir"/>
          <w:sz w:val="21"/>
          <w:szCs w:val="21"/>
        </w:rPr>
        <w:t>La Monografia Annali AMD 2021 “</w:t>
      </w:r>
      <w:r w:rsidRPr="00D96F71">
        <w:rPr>
          <w:rFonts w:ascii="Avenir Next LT Pro" w:eastAsia="Avenir" w:hAnsi="Avenir Next LT Pro" w:cs="Avenir"/>
          <w:i/>
          <w:sz w:val="21"/>
          <w:szCs w:val="21"/>
        </w:rPr>
        <w:t>L’impatto dell’emergenza Covid-19 sulla gestione dei pazienti con diabete e il contributo della telemedicina</w:t>
      </w:r>
      <w:r w:rsidRPr="00D96F71">
        <w:rPr>
          <w:rFonts w:ascii="Avenir Next LT Pro" w:eastAsia="Avenir" w:hAnsi="Avenir Next LT Pro" w:cs="Avenir"/>
          <w:sz w:val="21"/>
          <w:szCs w:val="21"/>
        </w:rPr>
        <w:t xml:space="preserve">” è disponibile al seguente link: </w:t>
      </w:r>
    </w:p>
    <w:p w14:paraId="0000000D" w14:textId="77777777" w:rsidR="00EC4533" w:rsidRPr="00D96F71" w:rsidRDefault="00F349D4">
      <w:pPr>
        <w:jc w:val="both"/>
        <w:rPr>
          <w:rFonts w:ascii="Avenir Next LT Pro" w:eastAsia="Avenir" w:hAnsi="Avenir Next LT Pro" w:cs="Avenir"/>
          <w:sz w:val="20"/>
          <w:szCs w:val="20"/>
        </w:rPr>
      </w:pPr>
      <w:hyperlink r:id="rId7">
        <w:r w:rsidR="00F856E0" w:rsidRPr="00D96F71">
          <w:rPr>
            <w:rFonts w:ascii="Avenir Next LT Pro" w:eastAsia="Avenir" w:hAnsi="Avenir Next LT Pro" w:cs="Avenir"/>
            <w:color w:val="0563C1"/>
            <w:sz w:val="20"/>
            <w:szCs w:val="20"/>
            <w:u w:val="single"/>
          </w:rPr>
          <w:t>https://aemmedi.it/wp-content/uploads/2022/04/Monografia_2021_Telemedicina_13_04_2022prot.pdf</w:t>
        </w:r>
      </w:hyperlink>
      <w:r w:rsidR="00F856E0" w:rsidRPr="00D96F71">
        <w:rPr>
          <w:rFonts w:ascii="Avenir Next LT Pro" w:eastAsia="Avenir" w:hAnsi="Avenir Next LT Pro" w:cs="Avenir"/>
          <w:sz w:val="20"/>
          <w:szCs w:val="20"/>
        </w:rPr>
        <w:t xml:space="preserve"> </w:t>
      </w:r>
    </w:p>
    <w:p w14:paraId="0000000E" w14:textId="77777777" w:rsidR="00EC4533" w:rsidRPr="00D96F71" w:rsidRDefault="00EC4533">
      <w:pPr>
        <w:jc w:val="both"/>
        <w:rPr>
          <w:rFonts w:ascii="Avenir Next LT Pro" w:eastAsia="Avenir" w:hAnsi="Avenir Next LT Pro" w:cs="Avenir"/>
        </w:rPr>
      </w:pPr>
    </w:p>
    <w:p w14:paraId="0000000F" w14:textId="77777777" w:rsidR="00EC4533" w:rsidRPr="00D96F71" w:rsidRDefault="00EC4533">
      <w:pPr>
        <w:jc w:val="both"/>
        <w:rPr>
          <w:rFonts w:ascii="Avenir Next LT Pro" w:eastAsia="Avenir" w:hAnsi="Avenir Next LT Pro" w:cs="Avenir"/>
        </w:rPr>
      </w:pPr>
    </w:p>
    <w:p w14:paraId="00000010" w14:textId="77777777" w:rsidR="00EC4533" w:rsidRPr="00D96F71" w:rsidRDefault="00EC4533">
      <w:pPr>
        <w:jc w:val="both"/>
        <w:rPr>
          <w:rFonts w:ascii="Avenir Next LT Pro" w:eastAsia="Avenir" w:hAnsi="Avenir Next LT Pro" w:cs="Avenir"/>
        </w:rPr>
      </w:pPr>
    </w:p>
    <w:p w14:paraId="00000011" w14:textId="77777777" w:rsidR="00EC4533" w:rsidRPr="00D96F71" w:rsidRDefault="00EC4533">
      <w:pPr>
        <w:jc w:val="both"/>
        <w:rPr>
          <w:rFonts w:ascii="Avenir Next LT Pro" w:eastAsia="Avenir" w:hAnsi="Avenir Next LT Pro" w:cs="Avenir"/>
        </w:rPr>
      </w:pPr>
    </w:p>
    <w:p w14:paraId="00000012" w14:textId="77777777" w:rsidR="00EC4533" w:rsidRPr="00D96F71" w:rsidRDefault="00F856E0">
      <w:pPr>
        <w:jc w:val="both"/>
        <w:rPr>
          <w:rFonts w:ascii="Avenir Next LT Pro" w:eastAsia="Avenir" w:hAnsi="Avenir Next LT Pro" w:cs="Avenir"/>
          <w:b/>
        </w:rPr>
      </w:pPr>
      <w:r w:rsidRPr="00D96F71">
        <w:rPr>
          <w:rFonts w:ascii="Avenir Next LT Pro" w:eastAsia="Avenir" w:hAnsi="Avenir Next LT Pro" w:cs="Avenir"/>
          <w:b/>
        </w:rPr>
        <w:t xml:space="preserve">Per ulteriori informazioni: </w:t>
      </w:r>
    </w:p>
    <w:p w14:paraId="00000013" w14:textId="77777777" w:rsidR="00EC4533" w:rsidRPr="00D96F71" w:rsidRDefault="00F856E0">
      <w:pPr>
        <w:jc w:val="both"/>
        <w:rPr>
          <w:rFonts w:ascii="Avenir Next LT Pro" w:eastAsia="Avenir" w:hAnsi="Avenir Next LT Pro" w:cs="Avenir"/>
          <w:i/>
          <w:sz w:val="20"/>
          <w:szCs w:val="20"/>
        </w:rPr>
      </w:pPr>
      <w:r w:rsidRPr="00D96F71">
        <w:rPr>
          <w:rFonts w:ascii="Avenir Next LT Pro" w:eastAsia="Avenir" w:hAnsi="Avenir Next LT Pro" w:cs="Avenir"/>
          <w:i/>
          <w:sz w:val="20"/>
          <w:szCs w:val="20"/>
        </w:rPr>
        <w:t xml:space="preserve">Ufficio stampa AMD - Value Relations </w:t>
      </w:r>
    </w:p>
    <w:p w14:paraId="00000014" w14:textId="77777777" w:rsidR="00EC4533" w:rsidRPr="00D96F71" w:rsidRDefault="00F856E0">
      <w:pPr>
        <w:jc w:val="both"/>
        <w:rPr>
          <w:rFonts w:ascii="Avenir Next LT Pro" w:eastAsia="Avenir" w:hAnsi="Avenir Next LT Pro" w:cs="Avenir"/>
          <w:sz w:val="20"/>
          <w:szCs w:val="20"/>
        </w:rPr>
      </w:pPr>
      <w:r w:rsidRPr="00D96F71">
        <w:rPr>
          <w:rFonts w:ascii="Avenir Next LT Pro" w:eastAsia="Avenir" w:hAnsi="Avenir Next LT Pro" w:cs="Avenir"/>
          <w:sz w:val="20"/>
          <w:szCs w:val="20"/>
        </w:rPr>
        <w:t xml:space="preserve">Chiara Farroni </w:t>
      </w:r>
    </w:p>
    <w:p w14:paraId="00000015" w14:textId="77777777" w:rsidR="00EC4533" w:rsidRPr="00D96F71" w:rsidRDefault="00F856E0">
      <w:pPr>
        <w:jc w:val="both"/>
        <w:rPr>
          <w:rFonts w:ascii="Avenir Next LT Pro" w:eastAsia="Avenir" w:hAnsi="Avenir Next LT Pro" w:cs="Avenir"/>
          <w:sz w:val="20"/>
          <w:szCs w:val="20"/>
        </w:rPr>
      </w:pPr>
      <w:r w:rsidRPr="00D96F71">
        <w:rPr>
          <w:rFonts w:ascii="Avenir Next LT Pro" w:eastAsia="Avenir" w:hAnsi="Avenir Next LT Pro" w:cs="Avenir"/>
          <w:sz w:val="20"/>
          <w:szCs w:val="20"/>
        </w:rPr>
        <w:t xml:space="preserve">e-mail. </w:t>
      </w:r>
      <w:hyperlink r:id="rId8">
        <w:r w:rsidRPr="00D96F71">
          <w:rPr>
            <w:rFonts w:ascii="Avenir Next LT Pro" w:eastAsia="Avenir" w:hAnsi="Avenir Next LT Pro" w:cs="Avenir"/>
            <w:color w:val="0563C1"/>
            <w:sz w:val="20"/>
            <w:szCs w:val="20"/>
            <w:u w:val="single"/>
          </w:rPr>
          <w:t>c.farroni@vrelations.it</w:t>
        </w:r>
      </w:hyperlink>
    </w:p>
    <w:p w14:paraId="00000016" w14:textId="77777777" w:rsidR="00EC4533" w:rsidRPr="00D96F71" w:rsidRDefault="00F856E0">
      <w:pPr>
        <w:jc w:val="both"/>
        <w:rPr>
          <w:rFonts w:ascii="Avenir Next LT Pro" w:eastAsia="Avenir" w:hAnsi="Avenir Next LT Pro" w:cs="Avenir"/>
          <w:sz w:val="20"/>
          <w:szCs w:val="20"/>
        </w:rPr>
      </w:pPr>
      <w:r w:rsidRPr="00D96F71">
        <w:rPr>
          <w:rFonts w:ascii="Avenir Next LT Pro" w:eastAsia="Avenir" w:hAnsi="Avenir Next LT Pro" w:cs="Avenir"/>
          <w:sz w:val="20"/>
          <w:szCs w:val="20"/>
        </w:rPr>
        <w:t xml:space="preserve">mob. 331 4997375 </w:t>
      </w:r>
    </w:p>
    <w:p w14:paraId="00000017" w14:textId="77777777" w:rsidR="00EC4533" w:rsidRPr="00D96F71" w:rsidRDefault="00EC4533">
      <w:pPr>
        <w:jc w:val="both"/>
        <w:rPr>
          <w:rFonts w:ascii="Avenir Next LT Pro" w:eastAsia="Avenir" w:hAnsi="Avenir Next LT Pro" w:cs="Avenir"/>
        </w:rPr>
      </w:pPr>
    </w:p>
    <w:p w14:paraId="00000018" w14:textId="77777777" w:rsidR="00EC4533" w:rsidRPr="00D96F71" w:rsidRDefault="00EC4533">
      <w:pPr>
        <w:jc w:val="both"/>
        <w:rPr>
          <w:rFonts w:ascii="Avenir Next LT Pro" w:eastAsia="Avenir" w:hAnsi="Avenir Next LT Pro" w:cs="Avenir"/>
        </w:rPr>
      </w:pPr>
    </w:p>
    <w:p w14:paraId="00000019" w14:textId="77777777" w:rsidR="00EC4533" w:rsidRPr="00D96F71" w:rsidRDefault="00EC4533">
      <w:pPr>
        <w:jc w:val="both"/>
        <w:rPr>
          <w:rFonts w:ascii="Avenir Next LT Pro" w:eastAsia="Avenir" w:hAnsi="Avenir Next LT Pro" w:cs="Avenir"/>
        </w:rPr>
      </w:pPr>
    </w:p>
    <w:p w14:paraId="0000001A" w14:textId="77777777" w:rsidR="00EC4533" w:rsidRPr="00D96F71" w:rsidRDefault="00EC4533">
      <w:pPr>
        <w:jc w:val="center"/>
        <w:rPr>
          <w:rFonts w:ascii="Avenir Next LT Pro" w:eastAsia="Avenir" w:hAnsi="Avenir Next LT Pro" w:cs="Avenir"/>
        </w:rPr>
      </w:pPr>
    </w:p>
    <w:sectPr w:rsidR="00EC4533" w:rsidRPr="00D96F71">
      <w:headerReference w:type="default" r:id="rId9"/>
      <w:pgSz w:w="11906" w:h="16838"/>
      <w:pgMar w:top="1418" w:right="1134" w:bottom="1134"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DA45" w14:textId="77777777" w:rsidR="00F349D4" w:rsidRDefault="00F349D4">
      <w:pPr>
        <w:spacing w:after="0" w:line="240" w:lineRule="auto"/>
      </w:pPr>
      <w:r>
        <w:separator/>
      </w:r>
    </w:p>
  </w:endnote>
  <w:endnote w:type="continuationSeparator" w:id="0">
    <w:p w14:paraId="2A009161" w14:textId="77777777" w:rsidR="00F349D4" w:rsidRDefault="00F3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0989" w14:textId="77777777" w:rsidR="00F349D4" w:rsidRDefault="00F349D4">
      <w:pPr>
        <w:spacing w:after="0" w:line="240" w:lineRule="auto"/>
      </w:pPr>
      <w:r>
        <w:separator/>
      </w:r>
    </w:p>
  </w:footnote>
  <w:footnote w:type="continuationSeparator" w:id="0">
    <w:p w14:paraId="18A24340" w14:textId="77777777" w:rsidR="00F349D4" w:rsidRDefault="00F3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0D12C4F0" w:rsidR="00EC4533" w:rsidRDefault="00A91CC4">
    <w:pPr>
      <w:pBdr>
        <w:top w:val="nil"/>
        <w:left w:val="nil"/>
        <w:bottom w:val="nil"/>
        <w:right w:val="nil"/>
        <w:between w:val="nil"/>
      </w:pBdr>
      <w:tabs>
        <w:tab w:val="center" w:pos="4819"/>
        <w:tab w:val="right" w:pos="9638"/>
      </w:tabs>
      <w:spacing w:after="0" w:line="240" w:lineRule="auto"/>
      <w:jc w:val="center"/>
      <w:rPr>
        <w:color w:val="000000"/>
      </w:rPr>
    </w:pPr>
    <w:r>
      <w:rPr>
        <w:rFonts w:ascii="Times New Roman" w:hAnsi="Times New Roman" w:cs="Times New Roman"/>
        <w:noProof/>
        <w:sz w:val="24"/>
        <w:szCs w:val="24"/>
      </w:rPr>
      <w:drawing>
        <wp:anchor distT="0" distB="0" distL="114300" distR="114300" simplePos="0" relativeHeight="251658240" behindDoc="0" locked="0" layoutInCell="1" allowOverlap="1" wp14:anchorId="04C5515B" wp14:editId="3867EA68">
          <wp:simplePos x="0" y="0"/>
          <wp:positionH relativeFrom="column">
            <wp:posOffset>2526030</wp:posOffset>
          </wp:positionH>
          <wp:positionV relativeFrom="paragraph">
            <wp:posOffset>-10032</wp:posOffset>
          </wp:positionV>
          <wp:extent cx="1170305" cy="740410"/>
          <wp:effectExtent l="0" t="0" r="0" b="2540"/>
          <wp:wrapTopAndBottom/>
          <wp:docPr id="1" name="Immagine 1" descr="AMD – Associazione Medici Diabet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 – Associazione Medici Diabetolog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0305" cy="740410"/>
                  </a:xfrm>
                  <a:prstGeom prst="rect">
                    <a:avLst/>
                  </a:prstGeom>
                  <a:noFill/>
                </pic:spPr>
              </pic:pic>
            </a:graphicData>
          </a:graphic>
          <wp14:sizeRelH relativeFrom="page">
            <wp14:pctWidth>0</wp14:pctWidth>
          </wp14:sizeRelH>
          <wp14:sizeRelV relativeFrom="page">
            <wp14:pctHeight>0</wp14:pctHeight>
          </wp14:sizeRelV>
        </wp:anchor>
      </w:drawing>
    </w:r>
  </w:p>
  <w:p w14:paraId="0000001C" w14:textId="4EEA4981" w:rsidR="00EC4533" w:rsidRDefault="00EC4533">
    <w:pPr>
      <w:pBdr>
        <w:top w:val="nil"/>
        <w:left w:val="nil"/>
        <w:bottom w:val="nil"/>
        <w:right w:val="nil"/>
        <w:between w:val="nil"/>
      </w:pBdr>
      <w:tabs>
        <w:tab w:val="center" w:pos="4819"/>
        <w:tab w:val="right" w:pos="9638"/>
      </w:tabs>
      <w:spacing w:after="0" w:line="240" w:lineRule="auto"/>
      <w:jc w:val="center"/>
      <w:rPr>
        <w:color w:val="000000"/>
      </w:rPr>
    </w:pPr>
  </w:p>
  <w:p w14:paraId="0000001D" w14:textId="443018CB" w:rsidR="00EC4533" w:rsidRDefault="00EC4533">
    <w:pPr>
      <w:pBdr>
        <w:top w:val="nil"/>
        <w:left w:val="nil"/>
        <w:bottom w:val="nil"/>
        <w:right w:val="nil"/>
        <w:between w:val="nil"/>
      </w:pBdr>
      <w:tabs>
        <w:tab w:val="center" w:pos="4819"/>
        <w:tab w:val="right" w:pos="9638"/>
      </w:tabs>
      <w:spacing w:after="0" w:line="240" w:lineRule="auto"/>
      <w:rPr>
        <w:color w:val="000000"/>
      </w:rPr>
    </w:pPr>
  </w:p>
  <w:p w14:paraId="04340F59" w14:textId="5C3D7683" w:rsidR="00A91CC4" w:rsidRDefault="00A91CC4">
    <w:pPr>
      <w:pBdr>
        <w:top w:val="nil"/>
        <w:left w:val="nil"/>
        <w:bottom w:val="nil"/>
        <w:right w:val="nil"/>
        <w:between w:val="nil"/>
      </w:pBdr>
      <w:tabs>
        <w:tab w:val="center" w:pos="4819"/>
        <w:tab w:val="right" w:pos="9638"/>
      </w:tabs>
      <w:spacing w:after="0" w:line="240" w:lineRule="auto"/>
      <w:rPr>
        <w:color w:val="000000"/>
      </w:rPr>
    </w:pPr>
  </w:p>
  <w:p w14:paraId="3CF86DBC" w14:textId="21969F96" w:rsidR="00A91CC4" w:rsidRDefault="00A91CC4">
    <w:pPr>
      <w:pBdr>
        <w:top w:val="nil"/>
        <w:left w:val="nil"/>
        <w:bottom w:val="nil"/>
        <w:right w:val="nil"/>
        <w:between w:val="nil"/>
      </w:pBdr>
      <w:tabs>
        <w:tab w:val="center" w:pos="4819"/>
        <w:tab w:val="right" w:pos="9638"/>
      </w:tabs>
      <w:spacing w:after="0" w:line="240" w:lineRule="auto"/>
      <w:rPr>
        <w:color w:val="000000"/>
      </w:rPr>
    </w:pPr>
  </w:p>
  <w:p w14:paraId="2A75129D" w14:textId="77777777" w:rsidR="00A91CC4" w:rsidRDefault="00A91CC4">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533"/>
    <w:rsid w:val="00053645"/>
    <w:rsid w:val="003F6C2D"/>
    <w:rsid w:val="004F55C8"/>
    <w:rsid w:val="005F4154"/>
    <w:rsid w:val="006E1DD6"/>
    <w:rsid w:val="00A0463F"/>
    <w:rsid w:val="00A064BD"/>
    <w:rsid w:val="00A62574"/>
    <w:rsid w:val="00A91CC4"/>
    <w:rsid w:val="00D96F71"/>
    <w:rsid w:val="00DD5608"/>
    <w:rsid w:val="00EC4533"/>
    <w:rsid w:val="00EF51DF"/>
    <w:rsid w:val="00F349D4"/>
    <w:rsid w:val="00F85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A1E0"/>
  <w15:docId w15:val="{8A6AD0C4-FB09-4ECD-8FEE-D9C9010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77147E"/>
    <w:pPr>
      <w:ind w:left="720"/>
      <w:contextualSpacing/>
    </w:pPr>
  </w:style>
  <w:style w:type="paragraph" w:styleId="Intestazione">
    <w:name w:val="header"/>
    <w:basedOn w:val="Normale"/>
    <w:link w:val="IntestazioneCarattere"/>
    <w:uiPriority w:val="99"/>
    <w:unhideWhenUsed/>
    <w:rsid w:val="00251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91C"/>
  </w:style>
  <w:style w:type="paragraph" w:styleId="Pidipagina">
    <w:name w:val="footer"/>
    <w:basedOn w:val="Normale"/>
    <w:link w:val="PidipaginaCarattere"/>
    <w:uiPriority w:val="99"/>
    <w:unhideWhenUsed/>
    <w:rsid w:val="00251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91C"/>
  </w:style>
  <w:style w:type="character" w:styleId="Collegamentoipertestuale">
    <w:name w:val="Hyperlink"/>
    <w:basedOn w:val="Carpredefinitoparagrafo"/>
    <w:uiPriority w:val="99"/>
    <w:unhideWhenUsed/>
    <w:rsid w:val="0025191C"/>
    <w:rPr>
      <w:color w:val="0563C1" w:themeColor="hyperlink"/>
      <w:u w:val="single"/>
    </w:rPr>
  </w:style>
  <w:style w:type="character" w:customStyle="1" w:styleId="Menzionenonrisolta1">
    <w:name w:val="Menzione non risolta1"/>
    <w:basedOn w:val="Carpredefinitoparagrafo"/>
    <w:uiPriority w:val="99"/>
    <w:semiHidden/>
    <w:unhideWhenUsed/>
    <w:rsid w:val="0025191C"/>
    <w:rPr>
      <w:color w:val="605E5C"/>
      <w:shd w:val="clear" w:color="auto" w:fill="E1DFDD"/>
    </w:rPr>
  </w:style>
  <w:style w:type="character" w:styleId="Collegamentovisitato">
    <w:name w:val="FollowedHyperlink"/>
    <w:basedOn w:val="Carpredefinitoparagrafo"/>
    <w:uiPriority w:val="99"/>
    <w:semiHidden/>
    <w:unhideWhenUsed/>
    <w:rsid w:val="00C55A49"/>
    <w:rPr>
      <w:color w:val="954F72" w:themeColor="followedHyperlink"/>
      <w:u w:val="single"/>
    </w:rPr>
  </w:style>
  <w:style w:type="paragraph" w:styleId="Testofumetto">
    <w:name w:val="Balloon Text"/>
    <w:basedOn w:val="Normale"/>
    <w:link w:val="TestofumettoCarattere"/>
    <w:uiPriority w:val="99"/>
    <w:semiHidden/>
    <w:unhideWhenUsed/>
    <w:rsid w:val="003962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28A"/>
    <w:rPr>
      <w:rFonts w:ascii="Segoe UI" w:hAnsi="Segoe UI" w:cs="Segoe UI"/>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EF51DF"/>
    <w:rPr>
      <w:b/>
      <w:bCs/>
    </w:rPr>
  </w:style>
  <w:style w:type="character" w:customStyle="1" w:styleId="SoggettocommentoCarattere">
    <w:name w:val="Soggetto commento Carattere"/>
    <w:basedOn w:val="TestocommentoCarattere"/>
    <w:link w:val="Soggettocommento"/>
    <w:uiPriority w:val="99"/>
    <w:semiHidden/>
    <w:rsid w:val="00EF5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farroni@vrelations.it" TargetMode="External"/><Relationship Id="rId3" Type="http://schemas.openxmlformats.org/officeDocument/2006/relationships/settings" Target="settings.xml"/><Relationship Id="rId7" Type="http://schemas.openxmlformats.org/officeDocument/2006/relationships/hyperlink" Target="https://aemmedi.it/wp-content/uploads/2022/04/Monografia_2021_Telemedicina_13_04_2022pro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aemmedi.it/wp-content/uploads/2016/09/amd.png"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syogXRAvPPkjxLTvInlNFHRAw==">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Occhipinti</dc:creator>
  <cp:lastModifiedBy>Chiara Farroni</cp:lastModifiedBy>
  <cp:revision>2</cp:revision>
  <dcterms:created xsi:type="dcterms:W3CDTF">2022-07-11T07:56:00Z</dcterms:created>
  <dcterms:modified xsi:type="dcterms:W3CDTF">2022-07-11T07:56:00Z</dcterms:modified>
</cp:coreProperties>
</file>