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6A0A" w14:textId="77777777" w:rsidR="009A4F1C" w:rsidRDefault="009A4F1C">
      <w:pPr>
        <w:rPr>
          <w:rFonts w:ascii="Calibri" w:eastAsia="Calibri" w:hAnsi="Calibri" w:cs="Calibri"/>
          <w:i/>
          <w:sz w:val="18"/>
          <w:szCs w:val="18"/>
        </w:rPr>
      </w:pPr>
    </w:p>
    <w:p w14:paraId="76F5F991" w14:textId="7DDF60B2" w:rsidR="009A4F1C" w:rsidRDefault="0023735E">
      <w:pPr>
        <w:rPr>
          <w:rFonts w:ascii="Calibri" w:eastAsia="Calibri" w:hAnsi="Calibri" w:cs="Calibri"/>
          <w:sz w:val="24"/>
          <w:szCs w:val="24"/>
        </w:rPr>
      </w:pPr>
      <w:r>
        <w:rPr>
          <w:rFonts w:ascii="Calibri" w:eastAsia="Calibri" w:hAnsi="Calibri" w:cs="Calibri"/>
          <w:sz w:val="24"/>
          <w:szCs w:val="24"/>
        </w:rPr>
        <w:t>5</w:t>
      </w:r>
      <w:r w:rsidR="00062C34">
        <w:rPr>
          <w:rFonts w:ascii="Calibri" w:eastAsia="Calibri" w:hAnsi="Calibri" w:cs="Calibri"/>
          <w:sz w:val="24"/>
          <w:szCs w:val="24"/>
        </w:rPr>
        <w:t xml:space="preserve"> dicembre 2022</w:t>
      </w:r>
    </w:p>
    <w:p w14:paraId="55743499" w14:textId="77777777" w:rsidR="009A4F1C" w:rsidRDefault="009A4F1C">
      <w:pPr>
        <w:spacing w:line="240" w:lineRule="auto"/>
        <w:jc w:val="both"/>
        <w:rPr>
          <w:rFonts w:ascii="Calibri" w:eastAsia="Calibri" w:hAnsi="Calibri" w:cs="Calibri"/>
          <w:sz w:val="24"/>
          <w:szCs w:val="24"/>
        </w:rPr>
      </w:pPr>
      <w:bookmarkStart w:id="0" w:name="_gjdgxs" w:colFirst="0" w:colLast="0"/>
      <w:bookmarkEnd w:id="0"/>
    </w:p>
    <w:p w14:paraId="6612B469" w14:textId="77777777" w:rsidR="009A4F1C" w:rsidRDefault="00062C34">
      <w:pPr>
        <w:spacing w:line="240" w:lineRule="auto"/>
        <w:jc w:val="both"/>
        <w:rPr>
          <w:b/>
          <w:color w:val="274E13"/>
          <w:sz w:val="40"/>
          <w:szCs w:val="40"/>
        </w:rPr>
      </w:pPr>
      <w:r>
        <w:rPr>
          <w:b/>
          <w:color w:val="274E13"/>
          <w:sz w:val="40"/>
          <w:szCs w:val="40"/>
        </w:rPr>
        <w:t>I FONDI GESTITI DA CREDEM PRIVATE EQUITY SGR AL FIANCO DEL GRUPPO LIR PER UN NUOVO POLO DI LABORATORI DI ANALISI</w:t>
      </w:r>
    </w:p>
    <w:p w14:paraId="76A01062"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75A1838C" w14:textId="77777777" w:rsidR="009A4F1C" w:rsidRDefault="00062C34">
      <w:pPr>
        <w:numPr>
          <w:ilvl w:val="0"/>
          <w:numId w:val="1"/>
        </w:numPr>
        <w:spacing w:line="240" w:lineRule="auto"/>
        <w:ind w:right="444"/>
        <w:jc w:val="both"/>
        <w:rPr>
          <w:i/>
          <w:sz w:val="28"/>
          <w:szCs w:val="28"/>
        </w:rPr>
      </w:pPr>
      <w:r>
        <w:rPr>
          <w:i/>
          <w:sz w:val="28"/>
          <w:szCs w:val="28"/>
        </w:rPr>
        <w:t xml:space="preserve">Obiettivo </w:t>
      </w:r>
      <w:r>
        <w:rPr>
          <w:b/>
          <w:i/>
          <w:sz w:val="28"/>
          <w:szCs w:val="28"/>
        </w:rPr>
        <w:t xml:space="preserve">crescita della rete di laboratori di analisi </w:t>
      </w:r>
      <w:r>
        <w:rPr>
          <w:i/>
          <w:sz w:val="28"/>
          <w:szCs w:val="28"/>
        </w:rPr>
        <w:t>al centro-sud e in Lombardia;</w:t>
      </w:r>
    </w:p>
    <w:p w14:paraId="50408D1E" w14:textId="77777777" w:rsidR="009A4F1C" w:rsidRDefault="009A4F1C">
      <w:pPr>
        <w:spacing w:line="240" w:lineRule="auto"/>
        <w:ind w:left="720" w:right="444"/>
        <w:jc w:val="both"/>
        <w:rPr>
          <w:i/>
          <w:sz w:val="28"/>
          <w:szCs w:val="28"/>
        </w:rPr>
      </w:pPr>
    </w:p>
    <w:p w14:paraId="57728A18" w14:textId="77777777" w:rsidR="009A4F1C" w:rsidRDefault="00062C34">
      <w:pPr>
        <w:numPr>
          <w:ilvl w:val="0"/>
          <w:numId w:val="1"/>
        </w:numPr>
        <w:spacing w:line="240" w:lineRule="auto"/>
        <w:ind w:right="444"/>
        <w:jc w:val="both"/>
        <w:rPr>
          <w:i/>
          <w:sz w:val="28"/>
          <w:szCs w:val="28"/>
        </w:rPr>
      </w:pPr>
      <w:r>
        <w:rPr>
          <w:b/>
          <w:i/>
          <w:sz w:val="28"/>
          <w:szCs w:val="28"/>
        </w:rPr>
        <w:t>sesta partecipazione nel portafoglio dei fondi di Credem Private Equity</w:t>
      </w:r>
      <w:r>
        <w:rPr>
          <w:i/>
          <w:sz w:val="28"/>
          <w:szCs w:val="28"/>
        </w:rPr>
        <w:t xml:space="preserve"> che dispongono di una dotazione iniziale complessiva di oltre 200 milioni di euro;</w:t>
      </w:r>
    </w:p>
    <w:p w14:paraId="60289E86" w14:textId="77777777" w:rsidR="009A4F1C" w:rsidRDefault="009A4F1C">
      <w:pPr>
        <w:spacing w:line="240" w:lineRule="auto"/>
        <w:ind w:left="720" w:right="444"/>
        <w:jc w:val="both"/>
        <w:rPr>
          <w:i/>
          <w:sz w:val="28"/>
          <w:szCs w:val="28"/>
        </w:rPr>
      </w:pPr>
    </w:p>
    <w:p w14:paraId="1156526D" w14:textId="77777777" w:rsidR="009A4F1C" w:rsidRDefault="00062C34">
      <w:pPr>
        <w:numPr>
          <w:ilvl w:val="0"/>
          <w:numId w:val="1"/>
        </w:numPr>
        <w:spacing w:line="240" w:lineRule="auto"/>
        <w:ind w:right="444"/>
        <w:jc w:val="both"/>
        <w:rPr>
          <w:i/>
          <w:sz w:val="28"/>
          <w:szCs w:val="28"/>
        </w:rPr>
      </w:pPr>
      <w:r>
        <w:rPr>
          <w:i/>
          <w:sz w:val="28"/>
          <w:szCs w:val="28"/>
        </w:rPr>
        <w:t xml:space="preserve">investimento complessivo </w:t>
      </w:r>
      <w:r>
        <w:rPr>
          <w:b/>
          <w:i/>
          <w:sz w:val="28"/>
          <w:szCs w:val="28"/>
        </w:rPr>
        <w:t xml:space="preserve">fino a 10 milioni di </w:t>
      </w:r>
      <w:proofErr w:type="gramStart"/>
      <w:r>
        <w:rPr>
          <w:b/>
          <w:i/>
          <w:sz w:val="28"/>
          <w:szCs w:val="28"/>
        </w:rPr>
        <w:t>Euro</w:t>
      </w:r>
      <w:proofErr w:type="gramEnd"/>
      <w:r>
        <w:rPr>
          <w:b/>
          <w:i/>
          <w:sz w:val="28"/>
          <w:szCs w:val="28"/>
        </w:rPr>
        <w:t>.</w:t>
      </w:r>
    </w:p>
    <w:p w14:paraId="37A4C79C"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478A855C" w14:textId="77777777" w:rsidR="009A4F1C" w:rsidRDefault="009A4F1C">
      <w:pPr>
        <w:spacing w:line="240" w:lineRule="auto"/>
        <w:jc w:val="both"/>
        <w:rPr>
          <w:rFonts w:ascii="Calibri" w:eastAsia="Calibri" w:hAnsi="Calibri" w:cs="Calibri"/>
          <w:sz w:val="24"/>
          <w:szCs w:val="24"/>
        </w:rPr>
      </w:pPr>
    </w:p>
    <w:p w14:paraId="282B0486"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b/>
          <w:sz w:val="24"/>
          <w:szCs w:val="24"/>
        </w:rPr>
        <w:t>Credem Private Equity SGR</w:t>
      </w:r>
      <w:r>
        <w:rPr>
          <w:rFonts w:ascii="Calibri" w:eastAsia="Calibri" w:hAnsi="Calibri" w:cs="Calibri"/>
          <w:sz w:val="24"/>
          <w:szCs w:val="24"/>
        </w:rPr>
        <w:t xml:space="preserve"> perfeziona la sesta operazione dei suoi fondi in gestione, acquisendo il controllo di </w:t>
      </w:r>
      <w:r>
        <w:rPr>
          <w:rFonts w:ascii="Calibri" w:eastAsia="Calibri" w:hAnsi="Calibri" w:cs="Calibri"/>
          <w:b/>
          <w:sz w:val="24"/>
          <w:szCs w:val="24"/>
        </w:rPr>
        <w:t>LIR S.p.A.</w:t>
      </w:r>
      <w:r>
        <w:rPr>
          <w:rFonts w:ascii="Calibri" w:eastAsia="Calibri" w:hAnsi="Calibri" w:cs="Calibri"/>
          <w:sz w:val="24"/>
          <w:szCs w:val="24"/>
        </w:rPr>
        <w:t xml:space="preserve">, a distanza di sei mesi dall’ingresso in HMC </w:t>
      </w:r>
      <w:proofErr w:type="spellStart"/>
      <w:r>
        <w:rPr>
          <w:rFonts w:ascii="Calibri" w:eastAsia="Calibri" w:hAnsi="Calibri" w:cs="Calibri"/>
          <w:sz w:val="24"/>
          <w:szCs w:val="24"/>
        </w:rPr>
        <w:t>Premedical</w:t>
      </w:r>
      <w:proofErr w:type="spellEnd"/>
      <w:r>
        <w:rPr>
          <w:rFonts w:ascii="Calibri" w:eastAsia="Calibri" w:hAnsi="Calibri" w:cs="Calibri"/>
          <w:sz w:val="24"/>
          <w:szCs w:val="24"/>
        </w:rPr>
        <w:t xml:space="preserve"> e di due mesi dalla sottoscrizione degli strumenti finanziari partecipativi emessi da </w:t>
      </w:r>
      <w:proofErr w:type="spellStart"/>
      <w:r>
        <w:rPr>
          <w:rFonts w:ascii="Calibri" w:eastAsia="Calibri" w:hAnsi="Calibri" w:cs="Calibri"/>
          <w:sz w:val="24"/>
          <w:szCs w:val="24"/>
        </w:rPr>
        <w:t>BrandOn</w:t>
      </w:r>
      <w:proofErr w:type="spellEnd"/>
      <w:r>
        <w:rPr>
          <w:rFonts w:ascii="Calibri" w:eastAsia="Calibri" w:hAnsi="Calibri" w:cs="Calibri"/>
          <w:sz w:val="24"/>
          <w:szCs w:val="24"/>
        </w:rPr>
        <w:t xml:space="preserve"> per acquisire la società francese ASD. LIR arricchisce, così, il portafoglio di partecipazioni composto anche da </w:t>
      </w:r>
      <w:proofErr w:type="spellStart"/>
      <w:r>
        <w:rPr>
          <w:rFonts w:ascii="Calibri" w:eastAsia="Calibri" w:hAnsi="Calibri" w:cs="Calibri"/>
          <w:sz w:val="24"/>
          <w:szCs w:val="24"/>
        </w:rPr>
        <w:t>BrandOn</w:t>
      </w:r>
      <w:proofErr w:type="spellEnd"/>
      <w:r>
        <w:rPr>
          <w:rFonts w:ascii="Calibri" w:eastAsia="Calibri" w:hAnsi="Calibri" w:cs="Calibri"/>
          <w:sz w:val="24"/>
          <w:szCs w:val="24"/>
        </w:rPr>
        <w:t xml:space="preserve"> (2020), Vista Vision (2020), </w:t>
      </w:r>
      <w:proofErr w:type="spellStart"/>
      <w:r>
        <w:rPr>
          <w:rFonts w:ascii="Calibri" w:eastAsia="Calibri" w:hAnsi="Calibri" w:cs="Calibri"/>
          <w:sz w:val="24"/>
          <w:szCs w:val="24"/>
        </w:rPr>
        <w:t>Regas</w:t>
      </w:r>
      <w:proofErr w:type="spellEnd"/>
      <w:r>
        <w:rPr>
          <w:rFonts w:ascii="Calibri" w:eastAsia="Calibri" w:hAnsi="Calibri" w:cs="Calibri"/>
          <w:sz w:val="24"/>
          <w:szCs w:val="24"/>
        </w:rPr>
        <w:t xml:space="preserve"> (2021), Contri Spumanti (2022) e HMC </w:t>
      </w:r>
      <w:proofErr w:type="spellStart"/>
      <w:r>
        <w:rPr>
          <w:rFonts w:ascii="Calibri" w:eastAsia="Calibri" w:hAnsi="Calibri" w:cs="Calibri"/>
          <w:sz w:val="24"/>
          <w:szCs w:val="24"/>
        </w:rPr>
        <w:t>Premedical</w:t>
      </w:r>
      <w:proofErr w:type="spellEnd"/>
      <w:r>
        <w:rPr>
          <w:rFonts w:ascii="Calibri" w:eastAsia="Calibri" w:hAnsi="Calibri" w:cs="Calibri"/>
          <w:sz w:val="24"/>
          <w:szCs w:val="24"/>
        </w:rPr>
        <w:t xml:space="preserve"> (2022).</w:t>
      </w:r>
    </w:p>
    <w:p w14:paraId="155943F3"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1C908EC1"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LIR - Laboratori Italiani Riuniti - S.p.A., è una start up costituita a metà 2019, a capo di un gruppo attivo nella gestione di laboratori di analisi con oltre 10 strutture in Campania e Lombardia, che ha come obiettivo quello di creare, in una logica “</w:t>
      </w:r>
      <w:proofErr w:type="spellStart"/>
      <w:r>
        <w:rPr>
          <w:rFonts w:ascii="Calibri" w:eastAsia="Calibri" w:hAnsi="Calibri" w:cs="Calibri"/>
          <w:sz w:val="24"/>
          <w:szCs w:val="24"/>
        </w:rPr>
        <w:t>buy</w:t>
      </w:r>
      <w:proofErr w:type="spellEnd"/>
      <w:r>
        <w:rPr>
          <w:rFonts w:ascii="Calibri" w:eastAsia="Calibri" w:hAnsi="Calibri" w:cs="Calibri"/>
          <w:sz w:val="24"/>
          <w:szCs w:val="24"/>
        </w:rPr>
        <w:t xml:space="preserve"> and build”, una rete di laboratori di analisi e strutture altamente specializzate nelle principali regioni italiane, ivi incluso il Centro-Sud Italia, area meno presidiata da iniziative di aggregazione da parte di altri player.</w:t>
      </w:r>
    </w:p>
    <w:p w14:paraId="70C154E8"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43E33D78"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Credem Private Equity SGR, guidata dagli AD Maurizio Esposito e Daniele Molinaro, ha perfezionato il sesto investimento dopo aver raccolto oltre 200 milioni di euro. </w:t>
      </w:r>
      <w:r>
        <w:rPr>
          <w:rFonts w:ascii="Calibri" w:eastAsia="Calibri" w:hAnsi="Calibri" w:cs="Calibri"/>
          <w:i/>
          <w:sz w:val="24"/>
          <w:szCs w:val="24"/>
        </w:rPr>
        <w:t xml:space="preserve">“Con un investimento che può arrivare a </w:t>
      </w:r>
      <w:proofErr w:type="gramStart"/>
      <w:r>
        <w:rPr>
          <w:rFonts w:ascii="Calibri" w:eastAsia="Calibri" w:hAnsi="Calibri" w:cs="Calibri"/>
          <w:i/>
          <w:sz w:val="24"/>
          <w:szCs w:val="24"/>
        </w:rPr>
        <w:t>10</w:t>
      </w:r>
      <w:proofErr w:type="gramEnd"/>
      <w:r>
        <w:rPr>
          <w:rFonts w:ascii="Calibri" w:eastAsia="Calibri" w:hAnsi="Calibri" w:cs="Calibri"/>
          <w:i/>
          <w:sz w:val="24"/>
          <w:szCs w:val="24"/>
        </w:rPr>
        <w:t xml:space="preserve"> milioni di euro”</w:t>
      </w:r>
      <w:r>
        <w:rPr>
          <w:rFonts w:ascii="Calibri" w:eastAsia="Calibri" w:hAnsi="Calibri" w:cs="Calibri"/>
          <w:sz w:val="24"/>
          <w:szCs w:val="24"/>
        </w:rPr>
        <w:t xml:space="preserve">, ha dichiarato </w:t>
      </w:r>
      <w:r>
        <w:rPr>
          <w:rFonts w:ascii="Calibri" w:eastAsia="Calibri" w:hAnsi="Calibri" w:cs="Calibri"/>
          <w:b/>
          <w:sz w:val="24"/>
          <w:szCs w:val="24"/>
        </w:rPr>
        <w:t>Maurizio Esposito</w:t>
      </w:r>
      <w:r>
        <w:rPr>
          <w:rFonts w:ascii="Calibri" w:eastAsia="Calibri" w:hAnsi="Calibri" w:cs="Calibri"/>
          <w:sz w:val="24"/>
          <w:szCs w:val="24"/>
        </w:rPr>
        <w:t xml:space="preserve">, Amministratore Delegato di Credem Private Equity SGR, </w:t>
      </w:r>
      <w:r>
        <w:rPr>
          <w:rFonts w:ascii="Calibri" w:eastAsia="Calibri" w:hAnsi="Calibri" w:cs="Calibri"/>
          <w:i/>
          <w:sz w:val="24"/>
          <w:szCs w:val="24"/>
        </w:rPr>
        <w:t>“vogliamo mettere a disposizione di LIR le risorse finanziarie e la complementarità delle nostre competenze per supportare e accelerare la crescita attraverso acquisizioni di nuovi laboratori di analisi, l’apertura di punti prelievo e l’offerta di nuovi servizi ad alto valore aggiunto”</w:t>
      </w:r>
      <w:r>
        <w:rPr>
          <w:rFonts w:ascii="Calibri" w:eastAsia="Calibri" w:hAnsi="Calibri" w:cs="Calibri"/>
          <w:sz w:val="24"/>
          <w:szCs w:val="24"/>
        </w:rPr>
        <w:t>.</w:t>
      </w:r>
    </w:p>
    <w:p w14:paraId="7FBA01BA"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1DE1344F"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LIR ha adottato il modello definito “Hub &amp; </w:t>
      </w:r>
      <w:proofErr w:type="spellStart"/>
      <w:r>
        <w:rPr>
          <w:rFonts w:ascii="Calibri" w:eastAsia="Calibri" w:hAnsi="Calibri" w:cs="Calibri"/>
          <w:sz w:val="24"/>
          <w:szCs w:val="24"/>
        </w:rPr>
        <w:t>Spoke</w:t>
      </w:r>
      <w:proofErr w:type="spellEnd"/>
      <w:r>
        <w:rPr>
          <w:rFonts w:ascii="Calibri" w:eastAsia="Calibri" w:hAnsi="Calibri" w:cs="Calibri"/>
          <w:sz w:val="24"/>
          <w:szCs w:val="24"/>
        </w:rPr>
        <w:t xml:space="preserve">” che comprende sia la fase analitica (“Hub”, ricezione dei campioni, analisi, verifica e validazione dei risultati) sia la fase </w:t>
      </w:r>
      <w:proofErr w:type="spellStart"/>
      <w:proofErr w:type="gramStart"/>
      <w:r>
        <w:rPr>
          <w:rFonts w:ascii="Calibri" w:eastAsia="Calibri" w:hAnsi="Calibri" w:cs="Calibri"/>
          <w:sz w:val="24"/>
          <w:szCs w:val="24"/>
        </w:rPr>
        <w:t>pre</w:t>
      </w:r>
      <w:proofErr w:type="spellEnd"/>
      <w:r>
        <w:rPr>
          <w:rFonts w:ascii="Calibri" w:eastAsia="Calibri" w:hAnsi="Calibri" w:cs="Calibri"/>
          <w:sz w:val="24"/>
          <w:szCs w:val="24"/>
        </w:rPr>
        <w:t>-analitica</w:t>
      </w:r>
      <w:proofErr w:type="gramEnd"/>
      <w:r>
        <w:rPr>
          <w:rFonts w:ascii="Calibri" w:eastAsia="Calibri" w:hAnsi="Calibri" w:cs="Calibri"/>
          <w:sz w:val="24"/>
          <w:szCs w:val="24"/>
        </w:rPr>
        <w:t xml:space="preserve"> (accoglienza dell'utente, accettazione, prelievo e preparazione dei campioni biologici) e post-analitica (emissione, firma del referto e consegna degli esiti al paziente) realizzata dagli “</w:t>
      </w:r>
      <w:proofErr w:type="spellStart"/>
      <w:r>
        <w:rPr>
          <w:rFonts w:ascii="Calibri" w:eastAsia="Calibri" w:hAnsi="Calibri" w:cs="Calibri"/>
          <w:sz w:val="24"/>
          <w:szCs w:val="24"/>
        </w:rPr>
        <w:t>Spoke</w:t>
      </w:r>
      <w:proofErr w:type="spellEnd"/>
      <w:r>
        <w:rPr>
          <w:rFonts w:ascii="Calibri" w:eastAsia="Calibri" w:hAnsi="Calibri" w:cs="Calibri"/>
          <w:sz w:val="24"/>
          <w:szCs w:val="24"/>
        </w:rPr>
        <w:t>” (laboratori e punti prelievo).</w:t>
      </w:r>
    </w:p>
    <w:p w14:paraId="63A0785D"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1E36746F" w14:textId="7D8D8765" w:rsidR="009A4F1C" w:rsidRDefault="00062C34">
      <w:pPr>
        <w:spacing w:line="240" w:lineRule="auto"/>
        <w:jc w:val="both"/>
        <w:rPr>
          <w:rFonts w:ascii="Calibri" w:eastAsia="Calibri" w:hAnsi="Calibri" w:cs="Calibri"/>
          <w:sz w:val="24"/>
          <w:szCs w:val="24"/>
        </w:rPr>
      </w:pPr>
      <w:r>
        <w:rPr>
          <w:rFonts w:ascii="Calibri" w:eastAsia="Calibri" w:hAnsi="Calibri" w:cs="Calibri"/>
          <w:i/>
          <w:sz w:val="24"/>
          <w:szCs w:val="24"/>
        </w:rPr>
        <w:t>“Con l’apertura del capitale sociale all’ingresso di un importante partner finanziario quale Credem Private Equity SGR”</w:t>
      </w:r>
      <w:r>
        <w:rPr>
          <w:rFonts w:ascii="Calibri" w:eastAsia="Calibri" w:hAnsi="Calibri" w:cs="Calibri"/>
          <w:sz w:val="24"/>
          <w:szCs w:val="24"/>
        </w:rPr>
        <w:t xml:space="preserve">, dichiara </w:t>
      </w:r>
      <w:r>
        <w:rPr>
          <w:rFonts w:ascii="Calibri" w:eastAsia="Calibri" w:hAnsi="Calibri" w:cs="Calibri"/>
          <w:b/>
          <w:sz w:val="24"/>
          <w:szCs w:val="24"/>
        </w:rPr>
        <w:t>Massimo Cherubini</w:t>
      </w:r>
      <w:r>
        <w:rPr>
          <w:rFonts w:ascii="Calibri" w:eastAsia="Calibri" w:hAnsi="Calibri" w:cs="Calibri"/>
          <w:sz w:val="24"/>
          <w:szCs w:val="24"/>
        </w:rPr>
        <w:t>, Presidente del Gruppo LIR</w:t>
      </w:r>
      <w:r w:rsidR="0023735E">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i/>
          <w:sz w:val="24"/>
          <w:szCs w:val="24"/>
        </w:rPr>
        <w:t xml:space="preserve">“Laboratori Italiani Riuniti S.p.A. prosegue il suo percorso di crescita in coerenza  con la mission che l’ha contraddistinta sin dalla fondazione: la valorizzazione delle “best </w:t>
      </w:r>
      <w:proofErr w:type="spellStart"/>
      <w:r>
        <w:rPr>
          <w:rFonts w:ascii="Calibri" w:eastAsia="Calibri" w:hAnsi="Calibri" w:cs="Calibri"/>
          <w:i/>
          <w:sz w:val="24"/>
          <w:szCs w:val="24"/>
        </w:rPr>
        <w:t>practice</w:t>
      </w:r>
      <w:proofErr w:type="spellEnd"/>
      <w:r>
        <w:rPr>
          <w:rFonts w:ascii="Calibri" w:eastAsia="Calibri" w:hAnsi="Calibri" w:cs="Calibri"/>
          <w:i/>
          <w:sz w:val="24"/>
          <w:szCs w:val="24"/>
        </w:rPr>
        <w:t>” presenti nella rete dei laboratori, per garantire un servizio di prossimità in grado di conciliare l’efficienza offerta dall’aggregazione con il massimo livello qualitativo dei servizi  di prossimità offerti sul territorio. Tutto ciò, confermando l’italianità del Gruppo, che basa il suo successo sul know-how tecnologico, ma anche sulla conoscenza delle peculiarità e delle esigenze regionali, e non a caso è particolarmente attivo nelle aree del centro sud”</w:t>
      </w:r>
      <w:r>
        <w:rPr>
          <w:rFonts w:ascii="Calibri" w:eastAsia="Calibri" w:hAnsi="Calibri" w:cs="Calibri"/>
          <w:sz w:val="24"/>
          <w:szCs w:val="24"/>
        </w:rPr>
        <w:t>.</w:t>
      </w:r>
    </w:p>
    <w:p w14:paraId="2A1D8856" w14:textId="77777777" w:rsidR="009A4F1C" w:rsidRDefault="009A4F1C">
      <w:pPr>
        <w:spacing w:line="240" w:lineRule="auto"/>
        <w:jc w:val="both"/>
        <w:rPr>
          <w:rFonts w:ascii="Calibri" w:eastAsia="Calibri" w:hAnsi="Calibri" w:cs="Calibri"/>
          <w:sz w:val="24"/>
          <w:szCs w:val="24"/>
        </w:rPr>
      </w:pPr>
    </w:p>
    <w:p w14:paraId="4A04260E" w14:textId="327F2CD0"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LIR oggi opera attraverso 2 Hub (in Campania e in Lombardia) e 10 </w:t>
      </w:r>
      <w:proofErr w:type="spellStart"/>
      <w:r>
        <w:rPr>
          <w:rFonts w:ascii="Calibri" w:eastAsia="Calibri" w:hAnsi="Calibri" w:cs="Calibri"/>
          <w:sz w:val="24"/>
          <w:szCs w:val="24"/>
        </w:rPr>
        <w:t>Spoke</w:t>
      </w:r>
      <w:proofErr w:type="spellEnd"/>
      <w:r>
        <w:rPr>
          <w:rFonts w:ascii="Calibri" w:eastAsia="Calibri" w:hAnsi="Calibri" w:cs="Calibri"/>
          <w:sz w:val="24"/>
          <w:szCs w:val="24"/>
        </w:rPr>
        <w:t>, per un fatturato 2022 atteso di € 8 milioni.</w:t>
      </w:r>
    </w:p>
    <w:p w14:paraId="1C34C69F" w14:textId="77777777" w:rsidR="009A4F1C" w:rsidRDefault="009A4F1C">
      <w:pPr>
        <w:pBdr>
          <w:top w:val="nil"/>
          <w:left w:val="nil"/>
          <w:bottom w:val="nil"/>
          <w:right w:val="nil"/>
          <w:between w:val="nil"/>
        </w:pBdr>
        <w:spacing w:line="240" w:lineRule="auto"/>
        <w:jc w:val="both"/>
        <w:rPr>
          <w:rFonts w:ascii="Calibri" w:eastAsia="Calibri" w:hAnsi="Calibri" w:cs="Calibri"/>
          <w:i/>
          <w:sz w:val="24"/>
          <w:szCs w:val="24"/>
        </w:rPr>
      </w:pPr>
    </w:p>
    <w:p w14:paraId="2FB48BF1" w14:textId="77777777" w:rsidR="009A4F1C" w:rsidRDefault="00062C34">
      <w:p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i/>
          <w:sz w:val="24"/>
          <w:szCs w:val="24"/>
        </w:rPr>
        <w:t>“Con questa operazione rafforziamo il nostro impegno al sostegno alla crescita delle piccole e medie imprese italiane, che in questo caso si focalizza su un settore, quello della salute, che sta acquisendo sempre maggiore rilevanza nel tessuto economico nazionale e nelle nostre vite”</w:t>
      </w:r>
      <w:r>
        <w:rPr>
          <w:rFonts w:ascii="Calibri" w:eastAsia="Calibri" w:hAnsi="Calibri" w:cs="Calibri"/>
          <w:sz w:val="24"/>
          <w:szCs w:val="24"/>
        </w:rPr>
        <w:t xml:space="preserve">, ha aggiunto </w:t>
      </w:r>
      <w:r>
        <w:rPr>
          <w:rFonts w:ascii="Calibri" w:eastAsia="Calibri" w:hAnsi="Calibri" w:cs="Calibri"/>
          <w:b/>
          <w:sz w:val="24"/>
          <w:szCs w:val="24"/>
        </w:rPr>
        <w:t>Paolo Magnani</w:t>
      </w:r>
      <w:r>
        <w:rPr>
          <w:rFonts w:ascii="Calibri" w:eastAsia="Calibri" w:hAnsi="Calibri" w:cs="Calibri"/>
          <w:sz w:val="24"/>
          <w:szCs w:val="24"/>
        </w:rPr>
        <w:t xml:space="preserve">, Coordinatore Area </w:t>
      </w:r>
      <w:proofErr w:type="spellStart"/>
      <w:r>
        <w:rPr>
          <w:rFonts w:ascii="Calibri" w:eastAsia="Calibri" w:hAnsi="Calibri" w:cs="Calibri"/>
          <w:sz w:val="24"/>
          <w:szCs w:val="24"/>
        </w:rPr>
        <w:t>Wealth</w:t>
      </w:r>
      <w:proofErr w:type="spellEnd"/>
      <w:r>
        <w:rPr>
          <w:rFonts w:ascii="Calibri" w:eastAsia="Calibri" w:hAnsi="Calibri" w:cs="Calibri"/>
          <w:sz w:val="24"/>
          <w:szCs w:val="24"/>
        </w:rPr>
        <w:t xml:space="preserve"> Management del Gruppo Credem. </w:t>
      </w:r>
      <w:r>
        <w:rPr>
          <w:rFonts w:ascii="Calibri" w:eastAsia="Calibri" w:hAnsi="Calibri" w:cs="Calibri"/>
          <w:i/>
          <w:sz w:val="24"/>
          <w:szCs w:val="24"/>
        </w:rPr>
        <w:t>“Individuare realtà eccellenti, come LIR, e consentire loro di ampliare i propri orizzonti attraverso i capitali che andiamo ad immettere rappresenta, a mio avviso, un ottimo esempio di quella che ritengo l'essenza del private equity: creare valore sia per le aziende partecipate, sia per i sottoscrittori dei fondi di Credem Private Equity”</w:t>
      </w:r>
      <w:r>
        <w:rPr>
          <w:rFonts w:ascii="Calibri" w:eastAsia="Calibri" w:hAnsi="Calibri" w:cs="Calibri"/>
          <w:sz w:val="24"/>
          <w:szCs w:val="24"/>
        </w:rPr>
        <w:t>, ha concluso Magnani.</w:t>
      </w:r>
    </w:p>
    <w:p w14:paraId="3C696FA6" w14:textId="77777777" w:rsidR="009A4F1C" w:rsidRDefault="009A4F1C">
      <w:pPr>
        <w:pBdr>
          <w:top w:val="nil"/>
          <w:left w:val="nil"/>
          <w:bottom w:val="nil"/>
          <w:right w:val="nil"/>
          <w:between w:val="nil"/>
        </w:pBdr>
        <w:spacing w:line="240" w:lineRule="auto"/>
        <w:jc w:val="both"/>
        <w:rPr>
          <w:rFonts w:ascii="Calibri" w:eastAsia="Calibri" w:hAnsi="Calibri" w:cs="Calibri"/>
          <w:i/>
          <w:sz w:val="24"/>
          <w:szCs w:val="24"/>
        </w:rPr>
      </w:pPr>
    </w:p>
    <w:p w14:paraId="33ECF7A4"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b/>
          <w:sz w:val="24"/>
          <w:szCs w:val="24"/>
        </w:rPr>
        <w:t>Credem Private Equity SGR</w:t>
      </w:r>
      <w:r>
        <w:rPr>
          <w:rFonts w:ascii="Calibri" w:eastAsia="Calibri" w:hAnsi="Calibri" w:cs="Calibri"/>
          <w:sz w:val="24"/>
          <w:szCs w:val="24"/>
        </w:rPr>
        <w:t xml:space="preserve"> è la società di gestione di risparmio del gruppo Credem focalizzata nella gestione dei fondi di private equity e di investimenti nel private market, che dopo aver concluso con eccellenti ritorni per i sottoscrittori la gestione del fondo Credem Venture Capital I è diventata riferimento del Gruppo Credem per la gestione di 3 nuovi fondi di private equity (</w:t>
      </w:r>
      <w:proofErr w:type="spellStart"/>
      <w:r>
        <w:rPr>
          <w:rFonts w:ascii="Calibri" w:eastAsia="Calibri" w:hAnsi="Calibri" w:cs="Calibri"/>
          <w:sz w:val="24"/>
          <w:szCs w:val="24"/>
        </w:rPr>
        <w:t>Elite</w:t>
      </w:r>
      <w:proofErr w:type="spellEnd"/>
      <w:r>
        <w:rPr>
          <w:rFonts w:ascii="Calibri" w:eastAsia="Calibri" w:hAnsi="Calibri" w:cs="Calibri"/>
          <w:sz w:val="24"/>
          <w:szCs w:val="24"/>
        </w:rPr>
        <w:t xml:space="preserve">, Credem Venture Capital II ed </w:t>
      </w:r>
      <w:proofErr w:type="spellStart"/>
      <w:r>
        <w:rPr>
          <w:rFonts w:ascii="Calibri" w:eastAsia="Calibri" w:hAnsi="Calibri" w:cs="Calibri"/>
          <w:sz w:val="24"/>
          <w:szCs w:val="24"/>
        </w:rPr>
        <w:t>Eltifplus</w:t>
      </w:r>
      <w:proofErr w:type="spellEnd"/>
      <w:r>
        <w:rPr>
          <w:rFonts w:ascii="Calibri" w:eastAsia="Calibri" w:hAnsi="Calibri" w:cs="Calibri"/>
          <w:sz w:val="24"/>
          <w:szCs w:val="24"/>
        </w:rPr>
        <w:t>), che hanno raccolto complessivamente oltre 200 milioni di euro.</w:t>
      </w:r>
    </w:p>
    <w:p w14:paraId="24E51B3B"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0452794F" w14:textId="77777777"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Credem Private Equity SGR è stata assistita dallo Studio Gitti and Partners per gli aspetti legali, dallo Studio FRM per i temi fiscali e dallo studio PGS per la due diligence contabile. I soci fondatori di LIR sono stati assistiti dalla MAT Consulting per la consulenza strategica e dallo Studio RP Legal &amp; Tax per gli aspetti legali mentre Francesco </w:t>
      </w:r>
      <w:proofErr w:type="spellStart"/>
      <w:r>
        <w:rPr>
          <w:rFonts w:ascii="Calibri" w:eastAsia="Calibri" w:hAnsi="Calibri" w:cs="Calibri"/>
          <w:sz w:val="24"/>
          <w:szCs w:val="24"/>
        </w:rPr>
        <w:t>Fasanotti</w:t>
      </w:r>
      <w:proofErr w:type="spellEnd"/>
      <w:r>
        <w:rPr>
          <w:rFonts w:ascii="Calibri" w:eastAsia="Calibri" w:hAnsi="Calibri" w:cs="Calibri"/>
          <w:sz w:val="24"/>
          <w:szCs w:val="24"/>
        </w:rPr>
        <w:t xml:space="preserve"> di Alpha Omega ha agito quale Advisor finanziario.</w:t>
      </w:r>
    </w:p>
    <w:p w14:paraId="6B047B20" w14:textId="1B3D17C8" w:rsidR="009A4F1C" w:rsidRDefault="00062C34">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70FC1EC1" w14:textId="77777777" w:rsidR="00F57F51" w:rsidRDefault="00F57F51" w:rsidP="00F57F51">
      <w:pPr>
        <w:rPr>
          <w:rFonts w:ascii="Calibri" w:eastAsia="Calibri" w:hAnsi="Calibri" w:cs="Calibri"/>
          <w:i/>
          <w:sz w:val="18"/>
          <w:szCs w:val="18"/>
        </w:rPr>
      </w:pPr>
    </w:p>
    <w:p w14:paraId="7995C0C6" w14:textId="49CA4D16" w:rsidR="00F57F51" w:rsidRDefault="00F57F51" w:rsidP="00F57F51">
      <w:pPr>
        <w:rPr>
          <w:rFonts w:ascii="Calibri" w:eastAsia="Calibri" w:hAnsi="Calibri" w:cs="Calibri"/>
          <w:i/>
          <w:sz w:val="18"/>
          <w:szCs w:val="18"/>
        </w:rPr>
      </w:pPr>
      <w:r>
        <w:rPr>
          <w:rFonts w:ascii="Calibri" w:eastAsia="Calibri" w:hAnsi="Calibri" w:cs="Calibri"/>
          <w:i/>
          <w:sz w:val="18"/>
          <w:szCs w:val="18"/>
        </w:rPr>
        <w:t>Contatti per i media:</w:t>
      </w:r>
    </w:p>
    <w:p w14:paraId="7D137E7E" w14:textId="77777777" w:rsidR="00F57F51" w:rsidRDefault="00F57F51" w:rsidP="00F57F51">
      <w:pPr>
        <w:rPr>
          <w:rFonts w:ascii="Calibri" w:eastAsia="Calibri" w:hAnsi="Calibri" w:cs="Calibri"/>
          <w:b/>
          <w:i/>
          <w:color w:val="274E13"/>
          <w:sz w:val="18"/>
          <w:szCs w:val="18"/>
        </w:rPr>
      </w:pPr>
    </w:p>
    <w:p w14:paraId="01115C67" w14:textId="67E9529F" w:rsidR="00F57F51" w:rsidRDefault="00F57F51" w:rsidP="00F57F51">
      <w:pPr>
        <w:rPr>
          <w:rFonts w:ascii="Calibri" w:eastAsia="Calibri" w:hAnsi="Calibri" w:cs="Calibri"/>
          <w:b/>
          <w:i/>
          <w:color w:val="274E13"/>
          <w:sz w:val="18"/>
          <w:szCs w:val="18"/>
        </w:rPr>
      </w:pPr>
      <w:r>
        <w:rPr>
          <w:rFonts w:ascii="Calibri" w:eastAsia="Calibri" w:hAnsi="Calibri" w:cs="Calibri"/>
          <w:b/>
          <w:i/>
          <w:color w:val="274E13"/>
          <w:sz w:val="18"/>
          <w:szCs w:val="18"/>
        </w:rPr>
        <w:t>Media Relations Credem</w:t>
      </w:r>
    </w:p>
    <w:p w14:paraId="12128143" w14:textId="77777777" w:rsidR="00F57F51" w:rsidRDefault="00F57F51" w:rsidP="00F57F51">
      <w:pPr>
        <w:rPr>
          <w:rFonts w:ascii="Calibri" w:eastAsia="Calibri" w:hAnsi="Calibri" w:cs="Calibri"/>
          <w:i/>
          <w:sz w:val="18"/>
          <w:szCs w:val="18"/>
        </w:rPr>
      </w:pPr>
      <w:r>
        <w:rPr>
          <w:rFonts w:ascii="Calibri" w:eastAsia="Calibri" w:hAnsi="Calibri" w:cs="Calibri"/>
          <w:i/>
          <w:sz w:val="18"/>
          <w:szCs w:val="18"/>
        </w:rPr>
        <w:t xml:space="preserve">0522 </w:t>
      </w:r>
      <w:proofErr w:type="gramStart"/>
      <w:r>
        <w:rPr>
          <w:rFonts w:ascii="Calibri" w:eastAsia="Calibri" w:hAnsi="Calibri" w:cs="Calibri"/>
          <w:i/>
          <w:sz w:val="18"/>
          <w:szCs w:val="18"/>
        </w:rPr>
        <w:t>582075  -</w:t>
      </w:r>
      <w:proofErr w:type="gramEnd"/>
      <w:r>
        <w:rPr>
          <w:rFonts w:ascii="Calibri" w:eastAsia="Calibri" w:hAnsi="Calibri" w:cs="Calibri"/>
          <w:i/>
          <w:sz w:val="18"/>
          <w:szCs w:val="18"/>
        </w:rPr>
        <w:t xml:space="preserve"> 02 77426202</w:t>
      </w:r>
    </w:p>
    <w:p w14:paraId="6AF59066" w14:textId="77777777" w:rsidR="00F57F51" w:rsidRDefault="00F57F51" w:rsidP="00F57F51">
      <w:pPr>
        <w:rPr>
          <w:rFonts w:ascii="Calibri" w:eastAsia="Calibri" w:hAnsi="Calibri" w:cs="Calibri"/>
          <w:i/>
          <w:sz w:val="18"/>
          <w:szCs w:val="18"/>
        </w:rPr>
      </w:pPr>
      <w:r>
        <w:rPr>
          <w:rFonts w:ascii="Calibri" w:eastAsia="Calibri" w:hAnsi="Calibri" w:cs="Calibri"/>
          <w:i/>
          <w:sz w:val="18"/>
          <w:szCs w:val="18"/>
        </w:rPr>
        <w:t>rel@credem.it -</w:t>
      </w:r>
      <w:hyperlink r:id="rId7">
        <w:r>
          <w:rPr>
            <w:rFonts w:ascii="Calibri" w:eastAsia="Calibri" w:hAnsi="Calibri" w:cs="Calibri"/>
            <w:i/>
            <w:color w:val="1155CC"/>
            <w:sz w:val="18"/>
            <w:szCs w:val="18"/>
            <w:u w:val="single"/>
          </w:rPr>
          <w:t xml:space="preserve"> www.credem.it</w:t>
        </w:r>
      </w:hyperlink>
    </w:p>
    <w:p w14:paraId="69B19313" w14:textId="77777777" w:rsidR="00F57F51" w:rsidRDefault="00F57F51" w:rsidP="00F57F51">
      <w:pPr>
        <w:rPr>
          <w:color w:val="222222"/>
          <w:highlight w:val="white"/>
        </w:rPr>
      </w:pPr>
    </w:p>
    <w:p w14:paraId="27EF6A98" w14:textId="20C52C09" w:rsidR="00F57F51" w:rsidRPr="00F57F51" w:rsidRDefault="00F57F51" w:rsidP="00F57F51">
      <w:pPr>
        <w:rPr>
          <w:rFonts w:ascii="Calibri" w:eastAsia="Calibri" w:hAnsi="Calibri" w:cs="Calibri"/>
          <w:i/>
          <w:sz w:val="18"/>
          <w:szCs w:val="18"/>
        </w:rPr>
      </w:pPr>
      <w:r w:rsidRPr="00F57F51">
        <w:rPr>
          <w:rFonts w:ascii="Calibri" w:eastAsia="Calibri" w:hAnsi="Calibri" w:cs="Calibri"/>
          <w:b/>
          <w:bCs/>
          <w:i/>
          <w:color w:val="002060"/>
          <w:sz w:val="18"/>
          <w:szCs w:val="18"/>
        </w:rPr>
        <w:t>Ufficio stampa</w:t>
      </w:r>
      <w:r w:rsidRPr="00F57F51">
        <w:rPr>
          <w:rFonts w:ascii="Calibri" w:eastAsia="Calibri" w:hAnsi="Calibri" w:cs="Calibri"/>
          <w:b/>
          <w:bCs/>
          <w:i/>
          <w:color w:val="002060"/>
          <w:sz w:val="18"/>
          <w:szCs w:val="18"/>
        </w:rPr>
        <w:t xml:space="preserve"> LIR </w:t>
      </w:r>
      <w:r w:rsidRPr="00F57F51">
        <w:rPr>
          <w:rFonts w:ascii="Calibri" w:eastAsia="Calibri" w:hAnsi="Calibri" w:cs="Calibri"/>
          <w:b/>
          <w:bCs/>
          <w:i/>
          <w:color w:val="002060"/>
          <w:sz w:val="18"/>
          <w:szCs w:val="18"/>
        </w:rPr>
        <w:t>S.p.A.</w:t>
      </w:r>
      <w:r w:rsidRPr="00F57F51">
        <w:rPr>
          <w:rFonts w:ascii="Calibri" w:eastAsia="Calibri" w:hAnsi="Calibri" w:cs="Calibri"/>
          <w:b/>
          <w:bCs/>
          <w:i/>
          <w:color w:val="002060"/>
          <w:sz w:val="18"/>
          <w:szCs w:val="18"/>
        </w:rPr>
        <w:t xml:space="preserve"> – Value Relations Media</w:t>
      </w:r>
      <w:r w:rsidRPr="00F57F51">
        <w:rPr>
          <w:rFonts w:ascii="Calibri" w:eastAsia="Calibri" w:hAnsi="Calibri" w:cs="Calibri"/>
          <w:i/>
          <w:sz w:val="18"/>
          <w:szCs w:val="18"/>
        </w:rPr>
        <w:tab/>
      </w:r>
      <w:r w:rsidRPr="00F57F51">
        <w:rPr>
          <w:rFonts w:ascii="Calibri" w:eastAsia="Calibri" w:hAnsi="Calibri" w:cs="Calibri"/>
          <w:i/>
          <w:sz w:val="18"/>
          <w:szCs w:val="18"/>
        </w:rPr>
        <w:br w:type="textWrapping" w:clear="all"/>
        <w:t xml:space="preserve">Francesca Alibrandi - </w:t>
      </w:r>
      <w:proofErr w:type="spellStart"/>
      <w:r w:rsidRPr="00F57F51">
        <w:rPr>
          <w:rFonts w:ascii="Calibri" w:eastAsia="Calibri" w:hAnsi="Calibri" w:cs="Calibri"/>
          <w:i/>
          <w:sz w:val="18"/>
          <w:szCs w:val="18"/>
        </w:rPr>
        <w:t>cell</w:t>
      </w:r>
      <w:proofErr w:type="spellEnd"/>
      <w:r w:rsidRPr="00F57F51">
        <w:rPr>
          <w:rFonts w:ascii="Calibri" w:eastAsia="Calibri" w:hAnsi="Calibri" w:cs="Calibri"/>
          <w:i/>
          <w:sz w:val="18"/>
          <w:szCs w:val="18"/>
        </w:rPr>
        <w:t xml:space="preserve">. 335.8368826, e-mail: </w:t>
      </w:r>
      <w:hyperlink r:id="rId8" w:history="1">
        <w:r w:rsidRPr="00E67029">
          <w:rPr>
            <w:rStyle w:val="Collegamentoipertestuale"/>
            <w:rFonts w:ascii="Calibri" w:eastAsia="Calibri" w:hAnsi="Calibri" w:cs="Calibri"/>
            <w:i/>
            <w:sz w:val="18"/>
            <w:szCs w:val="18"/>
          </w:rPr>
          <w:t>f.alibrandi@vrelations.it</w:t>
        </w:r>
      </w:hyperlink>
      <w:r>
        <w:rPr>
          <w:rFonts w:ascii="Calibri" w:eastAsia="Calibri" w:hAnsi="Calibri" w:cs="Calibri"/>
          <w:i/>
          <w:sz w:val="18"/>
          <w:szCs w:val="18"/>
        </w:rPr>
        <w:t xml:space="preserve"> </w:t>
      </w:r>
      <w:r w:rsidRPr="00F57F51">
        <w:rPr>
          <w:rFonts w:ascii="Calibri" w:eastAsia="Calibri" w:hAnsi="Calibri" w:cs="Calibri"/>
          <w:i/>
          <w:sz w:val="18"/>
          <w:szCs w:val="18"/>
        </w:rPr>
        <w:t xml:space="preserve"> </w:t>
      </w:r>
    </w:p>
    <w:p w14:paraId="26D91606" w14:textId="54DD531C" w:rsidR="00F57F51" w:rsidRPr="00F57F51" w:rsidRDefault="00F57F51" w:rsidP="00F57F51">
      <w:pPr>
        <w:rPr>
          <w:rFonts w:ascii="Calibri" w:eastAsia="Calibri" w:hAnsi="Calibri" w:cs="Calibri"/>
          <w:sz w:val="18"/>
          <w:szCs w:val="18"/>
        </w:rPr>
      </w:pPr>
      <w:r w:rsidRPr="00F57F51">
        <w:rPr>
          <w:rFonts w:ascii="Calibri" w:eastAsia="Calibri" w:hAnsi="Calibri" w:cs="Calibri"/>
          <w:i/>
          <w:sz w:val="18"/>
          <w:szCs w:val="18"/>
        </w:rPr>
        <w:t xml:space="preserve">Antonella Martucci - </w:t>
      </w:r>
      <w:proofErr w:type="spellStart"/>
      <w:r w:rsidRPr="00F57F51">
        <w:rPr>
          <w:rFonts w:ascii="Calibri" w:eastAsia="Calibri" w:hAnsi="Calibri" w:cs="Calibri"/>
          <w:i/>
          <w:sz w:val="18"/>
          <w:szCs w:val="18"/>
        </w:rPr>
        <w:t>cell</w:t>
      </w:r>
      <w:proofErr w:type="spellEnd"/>
      <w:r w:rsidRPr="00F57F51">
        <w:rPr>
          <w:rFonts w:ascii="Calibri" w:eastAsia="Calibri" w:hAnsi="Calibri" w:cs="Calibri"/>
          <w:i/>
          <w:sz w:val="18"/>
          <w:szCs w:val="18"/>
        </w:rPr>
        <w:t xml:space="preserve">. 340.6775463, e-mail </w:t>
      </w:r>
      <w:hyperlink r:id="rId9" w:history="1">
        <w:r w:rsidRPr="00E67029">
          <w:rPr>
            <w:rStyle w:val="Collegamentoipertestuale"/>
            <w:rFonts w:ascii="Calibri" w:eastAsia="Calibri" w:hAnsi="Calibri" w:cs="Calibri"/>
            <w:i/>
            <w:sz w:val="18"/>
            <w:szCs w:val="18"/>
          </w:rPr>
          <w:t>a.martucci@vrelations.it</w:t>
        </w:r>
      </w:hyperlink>
      <w:r>
        <w:rPr>
          <w:rFonts w:ascii="Calibri" w:eastAsia="Calibri" w:hAnsi="Calibri" w:cs="Calibri"/>
          <w:i/>
          <w:sz w:val="18"/>
          <w:szCs w:val="18"/>
        </w:rPr>
        <w:t xml:space="preserve"> </w:t>
      </w:r>
      <w:r w:rsidRPr="00F57F51">
        <w:rPr>
          <w:rFonts w:ascii="Calibri" w:eastAsia="Calibri" w:hAnsi="Calibri" w:cs="Calibri"/>
          <w:i/>
          <w:sz w:val="18"/>
          <w:szCs w:val="18"/>
        </w:rPr>
        <w:t xml:space="preserve"> </w:t>
      </w:r>
      <w:bookmarkStart w:id="1" w:name="_Hlk102464291"/>
      <w:r w:rsidRPr="00F57F51">
        <w:rPr>
          <w:rFonts w:ascii="Calibri" w:eastAsia="Calibri" w:hAnsi="Calibri" w:cs="Calibri"/>
          <w:i/>
          <w:sz w:val="18"/>
          <w:szCs w:val="18"/>
        </w:rPr>
        <w:t xml:space="preserve"> </w:t>
      </w:r>
      <w:bookmarkEnd w:id="1"/>
    </w:p>
    <w:p w14:paraId="25F47A01" w14:textId="77777777" w:rsidR="009A4F1C" w:rsidRDefault="009A4F1C">
      <w:pPr>
        <w:spacing w:line="240" w:lineRule="auto"/>
        <w:jc w:val="both"/>
        <w:rPr>
          <w:b/>
          <w:color w:val="385623"/>
          <w:sz w:val="36"/>
          <w:szCs w:val="36"/>
        </w:rPr>
      </w:pPr>
    </w:p>
    <w:sectPr w:rsidR="009A4F1C">
      <w:headerReference w:type="default" r:id="rId10"/>
      <w:footerReference w:type="default" r:id="rId11"/>
      <w:pgSz w:w="11900" w:h="16840"/>
      <w:pgMar w:top="1417" w:right="1417" w:bottom="553" w:left="1417" w:header="283"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087C" w14:textId="77777777" w:rsidR="00EC0369" w:rsidRDefault="00EC0369">
      <w:pPr>
        <w:spacing w:line="240" w:lineRule="auto"/>
      </w:pPr>
      <w:r>
        <w:separator/>
      </w:r>
    </w:p>
  </w:endnote>
  <w:endnote w:type="continuationSeparator" w:id="0">
    <w:p w14:paraId="2D5580F1" w14:textId="77777777" w:rsidR="00EC0369" w:rsidRDefault="00EC0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19D1" w14:textId="77777777" w:rsidR="009A4F1C" w:rsidRDefault="00062C34">
    <w:pPr>
      <w:jc w:val="center"/>
      <w:rPr>
        <w:i/>
        <w:sz w:val="18"/>
        <w:szCs w:val="18"/>
      </w:rPr>
    </w:pPr>
    <w:r>
      <w:rPr>
        <w:i/>
        <w:sz w:val="18"/>
        <w:szCs w:val="18"/>
      </w:rPr>
      <w:t>—-----------------------</w:t>
    </w:r>
  </w:p>
  <w:p w14:paraId="7B996660" w14:textId="77777777" w:rsidR="009A4F1C" w:rsidRDefault="00062C34">
    <w:pPr>
      <w:jc w:val="center"/>
      <w:rPr>
        <w:i/>
        <w:sz w:val="18"/>
        <w:szCs w:val="18"/>
      </w:rPr>
    </w:pPr>
    <w:r>
      <w:rPr>
        <w:i/>
        <w:sz w:val="18"/>
        <w:szCs w:val="18"/>
      </w:rPr>
      <w:fldChar w:fldCharType="begin"/>
    </w:r>
    <w:r>
      <w:rPr>
        <w:i/>
        <w:sz w:val="18"/>
        <w:szCs w:val="18"/>
      </w:rPr>
      <w:instrText>PAGE</w:instrText>
    </w:r>
    <w:r>
      <w:rPr>
        <w:i/>
        <w:sz w:val="18"/>
        <w:szCs w:val="18"/>
      </w:rPr>
      <w:fldChar w:fldCharType="separate"/>
    </w:r>
    <w:r w:rsidR="00F07D41">
      <w:rPr>
        <w:i/>
        <w:noProof/>
        <w:sz w:val="18"/>
        <w:szCs w:val="18"/>
      </w:rPr>
      <w:t>1</w:t>
    </w:r>
    <w:r>
      <w:rPr>
        <w:i/>
        <w:sz w:val="18"/>
        <w:szCs w:val="18"/>
      </w:rPr>
      <w:fldChar w:fldCharType="end"/>
    </w:r>
  </w:p>
  <w:p w14:paraId="46F96FF4" w14:textId="77777777" w:rsidR="009A4F1C" w:rsidRDefault="009A4F1C">
    <w:pP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D53D" w14:textId="77777777" w:rsidR="00EC0369" w:rsidRDefault="00EC0369">
      <w:pPr>
        <w:spacing w:line="240" w:lineRule="auto"/>
      </w:pPr>
      <w:r>
        <w:separator/>
      </w:r>
    </w:p>
  </w:footnote>
  <w:footnote w:type="continuationSeparator" w:id="0">
    <w:p w14:paraId="4ED62E99" w14:textId="77777777" w:rsidR="00EC0369" w:rsidRDefault="00EC03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44D4" w14:textId="77777777" w:rsidR="009A4F1C" w:rsidRDefault="00062C34">
    <w:r>
      <w:rPr>
        <w:noProof/>
      </w:rPr>
      <w:drawing>
        <wp:anchor distT="0" distB="0" distL="0" distR="0" simplePos="0" relativeHeight="251658240" behindDoc="1" locked="0" layoutInCell="1" hidden="0" allowOverlap="1" wp14:anchorId="0B675DF4" wp14:editId="178C0D7E">
          <wp:simplePos x="0" y="0"/>
          <wp:positionH relativeFrom="page">
            <wp:posOffset>6324600</wp:posOffset>
          </wp:positionH>
          <wp:positionV relativeFrom="page">
            <wp:posOffset>-9523</wp:posOffset>
          </wp:positionV>
          <wp:extent cx="1228725" cy="1181100"/>
          <wp:effectExtent l="0" t="0" r="0" b="0"/>
          <wp:wrapNone/>
          <wp:docPr id="2" name="image3.png" descr="image2.png"/>
          <wp:cNvGraphicFramePr/>
          <a:graphic xmlns:a="http://schemas.openxmlformats.org/drawingml/2006/main">
            <a:graphicData uri="http://schemas.openxmlformats.org/drawingml/2006/picture">
              <pic:pic xmlns:pic="http://schemas.openxmlformats.org/drawingml/2006/picture">
                <pic:nvPicPr>
                  <pic:cNvPr id="0" name="image3.png" descr="image2.png"/>
                  <pic:cNvPicPr preferRelativeResize="0"/>
                </pic:nvPicPr>
                <pic:blipFill>
                  <a:blip r:embed="rId1"/>
                  <a:srcRect/>
                  <a:stretch>
                    <a:fillRect/>
                  </a:stretch>
                </pic:blipFill>
                <pic:spPr>
                  <a:xfrm>
                    <a:off x="0" y="0"/>
                    <a:ext cx="1228725" cy="1181100"/>
                  </a:xfrm>
                  <a:prstGeom prst="rect">
                    <a:avLst/>
                  </a:prstGeom>
                  <a:ln/>
                </pic:spPr>
              </pic:pic>
            </a:graphicData>
          </a:graphic>
        </wp:anchor>
      </w:drawing>
    </w:r>
  </w:p>
  <w:p w14:paraId="37727E9D" w14:textId="77777777" w:rsidR="009A4F1C" w:rsidRDefault="009A4F1C">
    <w:pPr>
      <w:widowControl w:val="0"/>
      <w:spacing w:line="240" w:lineRule="auto"/>
    </w:pPr>
  </w:p>
  <w:tbl>
    <w:tblPr>
      <w:tblStyle w:val="a"/>
      <w:tblW w:w="906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3555"/>
      <w:gridCol w:w="3066"/>
    </w:tblGrid>
    <w:tr w:rsidR="009A4F1C" w14:paraId="5717B043" w14:textId="77777777">
      <w:trPr>
        <w:jc w:val="center"/>
      </w:trPr>
      <w:tc>
        <w:tcPr>
          <w:tcW w:w="24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7021C8" w14:textId="77777777" w:rsidR="009A4F1C" w:rsidRDefault="00062C34">
          <w:pPr>
            <w:widowControl w:val="0"/>
            <w:spacing w:line="240" w:lineRule="auto"/>
          </w:pPr>
          <w:r>
            <w:rPr>
              <w:noProof/>
            </w:rPr>
            <w:drawing>
              <wp:inline distT="0" distB="0" distL="0" distR="0" wp14:anchorId="72EE68EC" wp14:editId="3F3C10E2">
                <wp:extent cx="1176338" cy="579886"/>
                <wp:effectExtent l="0" t="0" r="0" b="0"/>
                <wp:docPr id="1" name="image1.png" descr="image4.png"/>
                <wp:cNvGraphicFramePr/>
                <a:graphic xmlns:a="http://schemas.openxmlformats.org/drawingml/2006/main">
                  <a:graphicData uri="http://schemas.openxmlformats.org/drawingml/2006/picture">
                    <pic:pic xmlns:pic="http://schemas.openxmlformats.org/drawingml/2006/picture">
                      <pic:nvPicPr>
                        <pic:cNvPr id="0" name="image1.png" descr="image4.png"/>
                        <pic:cNvPicPr preferRelativeResize="0"/>
                      </pic:nvPicPr>
                      <pic:blipFill>
                        <a:blip r:embed="rId2"/>
                        <a:srcRect/>
                        <a:stretch>
                          <a:fillRect/>
                        </a:stretch>
                      </pic:blipFill>
                      <pic:spPr>
                        <a:xfrm>
                          <a:off x="0" y="0"/>
                          <a:ext cx="1176338" cy="579886"/>
                        </a:xfrm>
                        <a:prstGeom prst="rect">
                          <a:avLst/>
                        </a:prstGeom>
                        <a:ln/>
                      </pic:spPr>
                    </pic:pic>
                  </a:graphicData>
                </a:graphic>
              </wp:inline>
            </w:drawing>
          </w:r>
        </w:p>
      </w:tc>
      <w:tc>
        <w:tcPr>
          <w:tcW w:w="35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bottom"/>
        </w:tcPr>
        <w:p w14:paraId="7692F003" w14:textId="77777777" w:rsidR="007326E6" w:rsidRDefault="007326E6">
          <w:pPr>
            <w:widowControl w:val="0"/>
            <w:spacing w:line="240" w:lineRule="auto"/>
            <w:jc w:val="center"/>
            <w:rPr>
              <w:b/>
              <w:i/>
              <w:color w:val="274E13"/>
              <w:sz w:val="24"/>
              <w:szCs w:val="24"/>
            </w:rPr>
          </w:pPr>
        </w:p>
        <w:p w14:paraId="6ECCB9D7" w14:textId="492EC94E" w:rsidR="009A4F1C" w:rsidRDefault="007326E6" w:rsidP="007326E6">
          <w:pPr>
            <w:widowControl w:val="0"/>
            <w:spacing w:line="240" w:lineRule="auto"/>
          </w:pPr>
          <w:r>
            <w:rPr>
              <w:b/>
              <w:i/>
              <w:color w:val="274E13"/>
              <w:sz w:val="24"/>
              <w:szCs w:val="24"/>
            </w:rPr>
            <w:t xml:space="preserve">   </w:t>
          </w:r>
          <w:r w:rsidR="00062C34">
            <w:rPr>
              <w:b/>
              <w:i/>
              <w:color w:val="274E13"/>
              <w:sz w:val="24"/>
              <w:szCs w:val="24"/>
            </w:rPr>
            <w:t>COMUNICATO STAMPA</w:t>
          </w:r>
        </w:p>
      </w:tc>
      <w:tc>
        <w:tcPr>
          <w:tcW w:w="306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02522F" w14:textId="77777777" w:rsidR="009A4F1C" w:rsidRDefault="00062C34">
          <w:pPr>
            <w:widowControl w:val="0"/>
            <w:spacing w:line="240" w:lineRule="auto"/>
            <w:jc w:val="right"/>
          </w:pPr>
          <w:r>
            <w:rPr>
              <w:noProof/>
            </w:rPr>
            <w:drawing>
              <wp:inline distT="0" distB="0" distL="0" distR="0" wp14:anchorId="7E607E59" wp14:editId="56DC0AC6">
                <wp:extent cx="1771650" cy="533400"/>
                <wp:effectExtent l="0" t="0" r="0" b="0"/>
                <wp:docPr id="3" name="image2.png" descr="image1.png"/>
                <wp:cNvGraphicFramePr/>
                <a:graphic xmlns:a="http://schemas.openxmlformats.org/drawingml/2006/main">
                  <a:graphicData uri="http://schemas.openxmlformats.org/drawingml/2006/picture">
                    <pic:pic xmlns:pic="http://schemas.openxmlformats.org/drawingml/2006/picture">
                      <pic:nvPicPr>
                        <pic:cNvPr id="0" name="image2.png" descr="image1.png"/>
                        <pic:cNvPicPr preferRelativeResize="0"/>
                      </pic:nvPicPr>
                      <pic:blipFill>
                        <a:blip r:embed="rId3"/>
                        <a:srcRect/>
                        <a:stretch>
                          <a:fillRect/>
                        </a:stretch>
                      </pic:blipFill>
                      <pic:spPr>
                        <a:xfrm>
                          <a:off x="0" y="0"/>
                          <a:ext cx="1771650" cy="533400"/>
                        </a:xfrm>
                        <a:prstGeom prst="rect">
                          <a:avLst/>
                        </a:prstGeom>
                        <a:ln/>
                      </pic:spPr>
                    </pic:pic>
                  </a:graphicData>
                </a:graphic>
              </wp:inline>
            </w:drawing>
          </w:r>
        </w:p>
      </w:tc>
    </w:tr>
  </w:tbl>
  <w:p w14:paraId="42D1D65A" w14:textId="77777777" w:rsidR="009A4F1C" w:rsidRDefault="009A4F1C">
    <w:pPr>
      <w:widowControl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42AD3"/>
    <w:multiLevelType w:val="multilevel"/>
    <w:tmpl w:val="3D622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978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1C"/>
    <w:rsid w:val="00062C34"/>
    <w:rsid w:val="0023735E"/>
    <w:rsid w:val="007326E6"/>
    <w:rsid w:val="009A4F1C"/>
    <w:rsid w:val="00BE1D4B"/>
    <w:rsid w:val="00EC0369"/>
    <w:rsid w:val="00F07D41"/>
    <w:rsid w:val="00F57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C4D118"/>
  <w15:docId w15:val="{EC971074-FC00-D14A-B576-9C18DED7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F57F51"/>
    <w:rPr>
      <w:color w:val="0000FF" w:themeColor="hyperlink"/>
      <w:u w:val="single"/>
    </w:rPr>
  </w:style>
  <w:style w:type="character" w:customStyle="1" w:styleId="bumpedfont15">
    <w:name w:val="bumpedfont15"/>
    <w:basedOn w:val="Carpredefinitoparagrafo"/>
    <w:rsid w:val="00F57F51"/>
  </w:style>
  <w:style w:type="character" w:styleId="Menzionenonrisolta">
    <w:name w:val="Unresolved Mention"/>
    <w:basedOn w:val="Carpredefinitoparagrafo"/>
    <w:uiPriority w:val="99"/>
    <w:semiHidden/>
    <w:unhideWhenUsed/>
    <w:rsid w:val="00F57F51"/>
    <w:rPr>
      <w:color w:val="605E5C"/>
      <w:shd w:val="clear" w:color="auto" w:fill="E1DFDD"/>
    </w:rPr>
  </w:style>
  <w:style w:type="paragraph" w:styleId="Intestazione">
    <w:name w:val="header"/>
    <w:basedOn w:val="Normale"/>
    <w:link w:val="IntestazioneCarattere"/>
    <w:uiPriority w:val="99"/>
    <w:unhideWhenUsed/>
    <w:rsid w:val="007326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326E6"/>
  </w:style>
  <w:style w:type="paragraph" w:styleId="Pidipagina">
    <w:name w:val="footer"/>
    <w:basedOn w:val="Normale"/>
    <w:link w:val="PidipaginaCarattere"/>
    <w:uiPriority w:val="99"/>
    <w:unhideWhenUsed/>
    <w:rsid w:val="007326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3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librandi@vrelation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e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artucci@vrelations.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Antonella Martucci</cp:lastModifiedBy>
  <cp:revision>7</cp:revision>
  <dcterms:created xsi:type="dcterms:W3CDTF">2022-12-05T09:20:00Z</dcterms:created>
  <dcterms:modified xsi:type="dcterms:W3CDTF">2022-12-05T09:39:00Z</dcterms:modified>
</cp:coreProperties>
</file>