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F3513" w14:textId="77777777" w:rsidR="00460CEB" w:rsidRPr="005D573F" w:rsidRDefault="00460CEB" w:rsidP="00460CEB">
      <w:pPr>
        <w:jc w:val="center"/>
        <w:rPr>
          <w:rFonts w:ascii="Arial" w:hAnsi="Arial"/>
          <w:b/>
          <w:bCs/>
          <w:sz w:val="24"/>
          <w:szCs w:val="24"/>
        </w:rPr>
      </w:pPr>
      <w:r w:rsidRPr="005D573F">
        <w:rPr>
          <w:rFonts w:ascii="Arial" w:hAnsi="Arial"/>
          <w:b/>
          <w:bCs/>
          <w:sz w:val="24"/>
          <w:szCs w:val="24"/>
        </w:rPr>
        <w:t>Tossicità cutanea da farmaci antitumorali</w:t>
      </w:r>
    </w:p>
    <w:p w14:paraId="72A41023" w14:textId="77777777" w:rsidR="005D573F" w:rsidRPr="005D573F" w:rsidRDefault="005D573F" w:rsidP="005D57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Times New Roman"/>
          <w:i/>
          <w:sz w:val="24"/>
          <w:szCs w:val="24"/>
        </w:rPr>
      </w:pPr>
      <w:r w:rsidRPr="005D573F">
        <w:rPr>
          <w:rFonts w:ascii="Arial" w:hAnsi="Arial"/>
          <w:b/>
          <w:bCs/>
          <w:sz w:val="24"/>
          <w:szCs w:val="24"/>
        </w:rPr>
        <w:t>Prof. Bruno Vincenzi</w:t>
      </w:r>
      <w:r>
        <w:rPr>
          <w:rFonts w:ascii="Arial" w:hAnsi="Arial"/>
          <w:b/>
          <w:bCs/>
          <w:i/>
          <w:sz w:val="24"/>
          <w:szCs w:val="24"/>
        </w:rPr>
        <w:br/>
      </w:r>
      <w:r w:rsidRPr="005D573F">
        <w:rPr>
          <w:rFonts w:ascii="Arial" w:hAnsi="Arial" w:cs="Times New Roman"/>
          <w:i/>
          <w:sz w:val="24"/>
          <w:szCs w:val="24"/>
        </w:rPr>
        <w:t xml:space="preserve">Oncologia Medica, Policlinico Universitario Campus </w:t>
      </w:r>
      <w:proofErr w:type="spellStart"/>
      <w:r w:rsidRPr="005D573F">
        <w:rPr>
          <w:rFonts w:ascii="Arial" w:hAnsi="Arial" w:cs="Times New Roman"/>
          <w:i/>
          <w:sz w:val="24"/>
          <w:szCs w:val="24"/>
        </w:rPr>
        <w:t>Bio</w:t>
      </w:r>
      <w:proofErr w:type="spellEnd"/>
      <w:r w:rsidRPr="005D573F">
        <w:rPr>
          <w:rFonts w:ascii="Arial" w:hAnsi="Arial" w:cs="Times New Roman"/>
          <w:i/>
          <w:sz w:val="24"/>
          <w:szCs w:val="24"/>
        </w:rPr>
        <w:t>-medico</w:t>
      </w:r>
      <w:r>
        <w:rPr>
          <w:rFonts w:ascii="Arial" w:hAnsi="Arial" w:cs="Times New Roman"/>
          <w:i/>
          <w:sz w:val="24"/>
          <w:szCs w:val="24"/>
        </w:rPr>
        <w:t xml:space="preserve"> di </w:t>
      </w:r>
      <w:r w:rsidRPr="005D573F">
        <w:rPr>
          <w:rFonts w:ascii="Arial" w:hAnsi="Arial" w:cs="Times New Roman"/>
          <w:i/>
          <w:sz w:val="24"/>
          <w:szCs w:val="24"/>
        </w:rPr>
        <w:t>Roma</w:t>
      </w:r>
    </w:p>
    <w:p w14:paraId="3688B76F" w14:textId="77777777" w:rsidR="005D573F" w:rsidRDefault="005D573F" w:rsidP="005D573F">
      <w:pPr>
        <w:jc w:val="both"/>
        <w:rPr>
          <w:rFonts w:ascii="Arial" w:hAnsi="Arial" w:cs="Arial"/>
        </w:rPr>
      </w:pPr>
    </w:p>
    <w:p w14:paraId="35F1DED0" w14:textId="77777777" w:rsidR="00460CEB" w:rsidRPr="005D573F" w:rsidRDefault="00460CEB" w:rsidP="005B461D">
      <w:pPr>
        <w:jc w:val="both"/>
        <w:rPr>
          <w:rFonts w:ascii="Arial" w:hAnsi="Arial"/>
        </w:rPr>
      </w:pPr>
    </w:p>
    <w:p w14:paraId="1AFDA1F7" w14:textId="77777777" w:rsidR="00241BBE" w:rsidRPr="005D573F" w:rsidRDefault="005B461D" w:rsidP="005B461D">
      <w:pPr>
        <w:jc w:val="both"/>
        <w:rPr>
          <w:rFonts w:ascii="Arial" w:hAnsi="Arial"/>
        </w:rPr>
      </w:pPr>
      <w:r w:rsidRPr="005D573F">
        <w:rPr>
          <w:rFonts w:ascii="Arial" w:hAnsi="Arial"/>
        </w:rPr>
        <w:t>Le terapie oncologiche</w:t>
      </w:r>
      <w:r w:rsidR="00241BBE" w:rsidRPr="005D573F">
        <w:rPr>
          <w:rFonts w:ascii="Arial" w:hAnsi="Arial"/>
        </w:rPr>
        <w:t xml:space="preserve"> </w:t>
      </w:r>
      <w:r w:rsidRPr="005D573F">
        <w:rPr>
          <w:rFonts w:ascii="Arial" w:hAnsi="Arial"/>
        </w:rPr>
        <w:t xml:space="preserve">possono determinare l’insorgenza di una vasta categoria di tossicità </w:t>
      </w:r>
      <w:r w:rsidR="002E23BC" w:rsidRPr="005D573F">
        <w:rPr>
          <w:rFonts w:ascii="Arial" w:hAnsi="Arial"/>
        </w:rPr>
        <w:t>cutanee</w:t>
      </w:r>
      <w:r w:rsidRPr="005D573F">
        <w:rPr>
          <w:rFonts w:ascii="Arial" w:hAnsi="Arial"/>
        </w:rPr>
        <w:t>.</w:t>
      </w:r>
      <w:r w:rsidR="008F7247" w:rsidRPr="005D573F">
        <w:rPr>
          <w:rFonts w:ascii="Arial" w:hAnsi="Arial"/>
        </w:rPr>
        <w:t xml:space="preserve"> La comparsa di reazioni cutanee come effetto collaterale indesiderato è da ricondurre al fatto che l'epidermide è un epitelio a rapida riproduzione. </w:t>
      </w:r>
      <w:r w:rsidRPr="005D573F">
        <w:rPr>
          <w:rFonts w:ascii="Arial" w:hAnsi="Arial"/>
        </w:rPr>
        <w:t>Queste reazioni possono essere di minima entità</w:t>
      </w:r>
      <w:r w:rsidR="00BC633E" w:rsidRPr="005D573F">
        <w:rPr>
          <w:rFonts w:ascii="Arial" w:hAnsi="Arial"/>
        </w:rPr>
        <w:t xml:space="preserve"> </w:t>
      </w:r>
      <w:r w:rsidRPr="005D573F">
        <w:rPr>
          <w:rFonts w:ascii="Arial" w:hAnsi="Arial"/>
        </w:rPr>
        <w:t xml:space="preserve">(Grado 1), </w:t>
      </w:r>
      <w:r w:rsidR="00BC633E" w:rsidRPr="005D573F">
        <w:rPr>
          <w:rFonts w:ascii="Arial" w:hAnsi="Arial"/>
        </w:rPr>
        <w:t>non determinando</w:t>
      </w:r>
      <w:r w:rsidRPr="005D573F">
        <w:rPr>
          <w:rFonts w:ascii="Arial" w:hAnsi="Arial"/>
        </w:rPr>
        <w:t xml:space="preserve"> modifiche del trattamento, o</w:t>
      </w:r>
      <w:r w:rsidR="00BC633E" w:rsidRPr="005D573F">
        <w:rPr>
          <w:rFonts w:ascii="Arial" w:hAnsi="Arial"/>
        </w:rPr>
        <w:t>, più raramente,</w:t>
      </w:r>
      <w:r w:rsidRPr="005D573F">
        <w:rPr>
          <w:rFonts w:ascii="Arial" w:hAnsi="Arial"/>
        </w:rPr>
        <w:t xml:space="preserve"> estremamente gravi (Grado 4), tali da mettere a repentaglio la vita del paziente e determi</w:t>
      </w:r>
      <w:r w:rsidR="00C348D4" w:rsidRPr="005D573F">
        <w:rPr>
          <w:rFonts w:ascii="Arial" w:hAnsi="Arial"/>
        </w:rPr>
        <w:t>nare</w:t>
      </w:r>
      <w:r w:rsidRPr="005D573F">
        <w:rPr>
          <w:rFonts w:ascii="Arial" w:hAnsi="Arial"/>
        </w:rPr>
        <w:t xml:space="preserve"> l’interruzione definitiva del trattamento che le ha causate.</w:t>
      </w:r>
      <w:r w:rsidR="00DD37E2" w:rsidRPr="005D573F">
        <w:rPr>
          <w:rFonts w:ascii="Arial" w:hAnsi="Arial"/>
        </w:rPr>
        <w:t xml:space="preserve"> Nella maggior parte dei casi, le reazioni cutanee determinano un peggioramento della qualità di vita del paziente</w:t>
      </w:r>
      <w:r w:rsidR="00765DBB" w:rsidRPr="005D573F">
        <w:rPr>
          <w:rFonts w:ascii="Arial" w:hAnsi="Arial"/>
        </w:rPr>
        <w:t xml:space="preserve"> (basti pensare agli effetti psicologici indotti dall’alopeci</w:t>
      </w:r>
      <w:r w:rsidR="008E1D88" w:rsidRPr="005D573F">
        <w:rPr>
          <w:rFonts w:ascii="Arial" w:hAnsi="Arial"/>
        </w:rPr>
        <w:t>a</w:t>
      </w:r>
      <w:r w:rsidR="00765DBB" w:rsidRPr="005D573F">
        <w:rPr>
          <w:rFonts w:ascii="Arial" w:hAnsi="Arial"/>
        </w:rPr>
        <w:t>)</w:t>
      </w:r>
      <w:r w:rsidR="00DD37E2" w:rsidRPr="005D573F">
        <w:rPr>
          <w:rFonts w:ascii="Arial" w:hAnsi="Arial"/>
        </w:rPr>
        <w:t xml:space="preserve"> un parametro il cui deterioramento deve essere </w:t>
      </w:r>
      <w:r w:rsidR="007F7ACA" w:rsidRPr="005D573F">
        <w:rPr>
          <w:rFonts w:ascii="Arial" w:hAnsi="Arial"/>
        </w:rPr>
        <w:t>il più possibile prevenuto</w:t>
      </w:r>
      <w:r w:rsidR="00DD37E2" w:rsidRPr="005D573F">
        <w:rPr>
          <w:rFonts w:ascii="Arial" w:hAnsi="Arial"/>
        </w:rPr>
        <w:t xml:space="preserve"> specialmente nel caso di </w:t>
      </w:r>
      <w:r w:rsidR="007F7ACA" w:rsidRPr="005D573F">
        <w:rPr>
          <w:rFonts w:ascii="Arial" w:hAnsi="Arial"/>
        </w:rPr>
        <w:t>pazienti con malattia avanzata</w:t>
      </w:r>
      <w:r w:rsidR="00C84BD9" w:rsidRPr="005D573F">
        <w:rPr>
          <w:rFonts w:ascii="Arial" w:hAnsi="Arial"/>
        </w:rPr>
        <w:t>.</w:t>
      </w:r>
      <w:r w:rsidR="00DD37E2" w:rsidRPr="005D573F">
        <w:rPr>
          <w:rFonts w:ascii="Arial" w:hAnsi="Arial"/>
        </w:rPr>
        <w:t xml:space="preserve"> </w:t>
      </w:r>
    </w:p>
    <w:p w14:paraId="0F3B3063" w14:textId="60D78945" w:rsidR="00241BBE" w:rsidRPr="005D573F" w:rsidRDefault="00624B58" w:rsidP="005B461D">
      <w:pPr>
        <w:jc w:val="both"/>
        <w:rPr>
          <w:rFonts w:ascii="Arial" w:hAnsi="Arial"/>
        </w:rPr>
      </w:pPr>
      <w:r>
        <w:rPr>
          <w:rFonts w:ascii="Arial" w:hAnsi="Arial" w:cs="Arial"/>
        </w:rPr>
        <w:t>È</w:t>
      </w:r>
      <w:bookmarkStart w:id="0" w:name="_GoBack"/>
      <w:bookmarkEnd w:id="0"/>
      <w:r w:rsidR="00FA7582" w:rsidRPr="005D573F">
        <w:rPr>
          <w:rFonts w:ascii="Arial" w:hAnsi="Arial"/>
        </w:rPr>
        <w:t xml:space="preserve"> importante</w:t>
      </w:r>
      <w:r w:rsidR="007F7ACA" w:rsidRPr="005D573F">
        <w:rPr>
          <w:rFonts w:ascii="Arial" w:hAnsi="Arial"/>
        </w:rPr>
        <w:t xml:space="preserve"> sottolineare</w:t>
      </w:r>
      <w:r w:rsidR="00FA7582" w:rsidRPr="005D573F">
        <w:rPr>
          <w:rFonts w:ascii="Arial" w:hAnsi="Arial"/>
        </w:rPr>
        <w:t xml:space="preserve"> come la tossicità cutanea non sia una prerogativa dei farmaci </w:t>
      </w:r>
      <w:r w:rsidR="007F7ACA" w:rsidRPr="005D573F">
        <w:rPr>
          <w:rFonts w:ascii="Arial" w:hAnsi="Arial"/>
        </w:rPr>
        <w:t>chemioterapici</w:t>
      </w:r>
      <w:r w:rsidR="00FA7582" w:rsidRPr="005D573F">
        <w:rPr>
          <w:rFonts w:ascii="Arial" w:hAnsi="Arial"/>
        </w:rPr>
        <w:t>. Anche le terapie più innovati</w:t>
      </w:r>
      <w:r w:rsidR="00E21CCF" w:rsidRPr="005D573F">
        <w:rPr>
          <w:rFonts w:ascii="Arial" w:hAnsi="Arial"/>
        </w:rPr>
        <w:t>v</w:t>
      </w:r>
      <w:r w:rsidR="00FA7582" w:rsidRPr="005D573F">
        <w:rPr>
          <w:rFonts w:ascii="Arial" w:hAnsi="Arial"/>
        </w:rPr>
        <w:t>e, come i farmaci biologici o l’immunoterapia, possono determinarne l’insorgenz</w:t>
      </w:r>
      <w:r w:rsidR="00A44646" w:rsidRPr="005D573F">
        <w:rPr>
          <w:rFonts w:ascii="Arial" w:hAnsi="Arial"/>
        </w:rPr>
        <w:t xml:space="preserve">a. </w:t>
      </w:r>
    </w:p>
    <w:p w14:paraId="6CBC0D85" w14:textId="77777777" w:rsidR="00400C57" w:rsidRPr="005D573F" w:rsidRDefault="00765DBB" w:rsidP="00400C57">
      <w:pPr>
        <w:spacing w:after="0"/>
        <w:jc w:val="both"/>
        <w:rPr>
          <w:rFonts w:ascii="Arial" w:hAnsi="Arial"/>
        </w:rPr>
      </w:pPr>
      <w:r w:rsidRPr="005D573F">
        <w:rPr>
          <w:rFonts w:ascii="Arial" w:hAnsi="Arial"/>
        </w:rPr>
        <w:t xml:space="preserve">I farmaci </w:t>
      </w:r>
      <w:r w:rsidR="007F7ACA" w:rsidRPr="005D573F">
        <w:rPr>
          <w:rFonts w:ascii="Arial" w:hAnsi="Arial"/>
        </w:rPr>
        <w:t xml:space="preserve">chemioterapici </w:t>
      </w:r>
      <w:r w:rsidRPr="005D573F">
        <w:rPr>
          <w:rFonts w:ascii="Arial" w:hAnsi="Arial"/>
        </w:rPr>
        <w:t>possono determinare effetti collaterali a livello d</w:t>
      </w:r>
      <w:r w:rsidR="00F009CB" w:rsidRPr="005D573F">
        <w:rPr>
          <w:rFonts w:ascii="Arial" w:hAnsi="Arial"/>
        </w:rPr>
        <w:t xml:space="preserve">elle </w:t>
      </w:r>
      <w:r w:rsidRPr="005D573F">
        <w:rPr>
          <w:rFonts w:ascii="Arial" w:hAnsi="Arial"/>
        </w:rPr>
        <w:t>unghi</w:t>
      </w:r>
      <w:r w:rsidR="00F009CB" w:rsidRPr="005D573F">
        <w:rPr>
          <w:rFonts w:ascii="Arial" w:hAnsi="Arial"/>
        </w:rPr>
        <w:t>e</w:t>
      </w:r>
      <w:r w:rsidRPr="005D573F">
        <w:rPr>
          <w:rFonts w:ascii="Arial" w:hAnsi="Arial"/>
        </w:rPr>
        <w:t xml:space="preserve"> come paronichia, </w:t>
      </w:r>
      <w:proofErr w:type="spellStart"/>
      <w:r w:rsidRPr="005D573F">
        <w:rPr>
          <w:rFonts w:ascii="Arial" w:hAnsi="Arial"/>
        </w:rPr>
        <w:t>melanonichia</w:t>
      </w:r>
      <w:proofErr w:type="spellEnd"/>
      <w:r w:rsidRPr="005D573F">
        <w:rPr>
          <w:rFonts w:ascii="Arial" w:hAnsi="Arial"/>
        </w:rPr>
        <w:t xml:space="preserve">, </w:t>
      </w:r>
      <w:r w:rsidR="00BC1CE2" w:rsidRPr="005D573F">
        <w:rPr>
          <w:rFonts w:ascii="Arial" w:hAnsi="Arial"/>
        </w:rPr>
        <w:t xml:space="preserve">a livello della cute come rossore, secchezza, </w:t>
      </w:r>
      <w:proofErr w:type="spellStart"/>
      <w:r w:rsidR="00BC1CE2" w:rsidRPr="005D573F">
        <w:rPr>
          <w:rFonts w:ascii="Arial" w:hAnsi="Arial"/>
        </w:rPr>
        <w:t>iperpigmentazione</w:t>
      </w:r>
      <w:proofErr w:type="spellEnd"/>
      <w:r w:rsidR="00BC1CE2" w:rsidRPr="005D573F">
        <w:rPr>
          <w:rFonts w:ascii="Arial" w:hAnsi="Arial"/>
        </w:rPr>
        <w:t xml:space="preserve">, e a livello delle mucose. </w:t>
      </w:r>
      <w:r w:rsidR="00F009CB" w:rsidRPr="005D573F">
        <w:rPr>
          <w:rFonts w:ascii="Arial" w:hAnsi="Arial"/>
        </w:rPr>
        <w:t xml:space="preserve">L’alopecia, la tossicità che </w:t>
      </w:r>
      <w:r w:rsidR="007B6D6A" w:rsidRPr="005D573F">
        <w:rPr>
          <w:rFonts w:ascii="Arial" w:hAnsi="Arial"/>
        </w:rPr>
        <w:t xml:space="preserve">più di tutte è associata </w:t>
      </w:r>
      <w:r w:rsidR="00F009CB" w:rsidRPr="005D573F">
        <w:rPr>
          <w:rFonts w:ascii="Arial" w:hAnsi="Arial"/>
        </w:rPr>
        <w:t xml:space="preserve">nell’immaginario comune ai trattamenti chemioterapici, </w:t>
      </w:r>
      <w:r w:rsidR="007B6D6A" w:rsidRPr="005D573F">
        <w:rPr>
          <w:rFonts w:ascii="Arial" w:hAnsi="Arial"/>
        </w:rPr>
        <w:t>può essere indotta</w:t>
      </w:r>
      <w:r w:rsidR="007F7ACA" w:rsidRPr="005D573F">
        <w:rPr>
          <w:rFonts w:ascii="Arial" w:hAnsi="Arial"/>
        </w:rPr>
        <w:t xml:space="preserve"> da molte categorie di farmaci utilizzati in oncologia. </w:t>
      </w:r>
      <w:r w:rsidR="00F009CB" w:rsidRPr="005D573F">
        <w:rPr>
          <w:rFonts w:ascii="Arial" w:hAnsi="Arial"/>
        </w:rPr>
        <w:t>La sua prevenzione, tramite caschi refrigeranti</w:t>
      </w:r>
      <w:r w:rsidR="00E62A78" w:rsidRPr="005D573F">
        <w:rPr>
          <w:rFonts w:ascii="Arial" w:hAnsi="Arial"/>
        </w:rPr>
        <w:t xml:space="preserve"> il cuoio capelluto</w:t>
      </w:r>
      <w:r w:rsidR="00F009CB" w:rsidRPr="005D573F">
        <w:rPr>
          <w:rFonts w:ascii="Arial" w:hAnsi="Arial"/>
        </w:rPr>
        <w:t xml:space="preserve">, rappresenta ancora oggi una sfida aperta. </w:t>
      </w:r>
    </w:p>
    <w:p w14:paraId="055F9311" w14:textId="77777777" w:rsidR="00400C57" w:rsidRPr="005D573F" w:rsidRDefault="00400C57" w:rsidP="00400C57">
      <w:pPr>
        <w:spacing w:after="0"/>
        <w:jc w:val="both"/>
        <w:rPr>
          <w:rFonts w:ascii="Arial" w:hAnsi="Arial"/>
        </w:rPr>
      </w:pPr>
      <w:r w:rsidRPr="005D573F">
        <w:rPr>
          <w:rFonts w:ascii="Arial" w:hAnsi="Arial"/>
        </w:rPr>
        <w:t xml:space="preserve">Alcuni antimetaboliti, specialmente il 5-FU e la </w:t>
      </w:r>
      <w:proofErr w:type="spellStart"/>
      <w:r w:rsidRPr="005D573F">
        <w:rPr>
          <w:rFonts w:ascii="Arial" w:hAnsi="Arial"/>
        </w:rPr>
        <w:t>Capecitabina</w:t>
      </w:r>
      <w:proofErr w:type="spellEnd"/>
      <w:r w:rsidRPr="005D573F">
        <w:rPr>
          <w:rFonts w:ascii="Arial" w:hAnsi="Arial"/>
        </w:rPr>
        <w:t xml:space="preserve">, utilizzati nel trattamento di una vasta categoria di tumori, presentano una tossicità peculiare, la sindrome mani-piedi, o </w:t>
      </w:r>
      <w:proofErr w:type="spellStart"/>
      <w:r w:rsidRPr="005D573F">
        <w:rPr>
          <w:rFonts w:ascii="Arial" w:hAnsi="Arial"/>
        </w:rPr>
        <w:t>eritrodisestesia</w:t>
      </w:r>
      <w:proofErr w:type="spellEnd"/>
      <w:r w:rsidRPr="005D573F">
        <w:rPr>
          <w:rFonts w:ascii="Arial" w:hAnsi="Arial"/>
        </w:rPr>
        <w:t xml:space="preserve"> palmo-plantare, caratterizzata, nelle forme più lievi, da eritema e gonfiore e, nei casi gravi, da formazione di vescicole, desquamazione e ulcerazione. </w:t>
      </w:r>
    </w:p>
    <w:p w14:paraId="3E99AE72" w14:textId="77777777" w:rsidR="00400C57" w:rsidRPr="005D573F" w:rsidRDefault="00400C57" w:rsidP="00400C57">
      <w:pPr>
        <w:spacing w:after="0"/>
        <w:jc w:val="both"/>
        <w:rPr>
          <w:rFonts w:ascii="Arial" w:hAnsi="Arial"/>
        </w:rPr>
      </w:pPr>
    </w:p>
    <w:p w14:paraId="28C618E4" w14:textId="77777777" w:rsidR="00DF22CB" w:rsidRPr="005D573F" w:rsidRDefault="00FF0153" w:rsidP="005B461D">
      <w:pPr>
        <w:jc w:val="both"/>
        <w:rPr>
          <w:rFonts w:ascii="Arial" w:hAnsi="Arial"/>
        </w:rPr>
      </w:pPr>
      <w:r w:rsidRPr="005D573F">
        <w:rPr>
          <w:rFonts w:ascii="Arial" w:hAnsi="Arial"/>
        </w:rPr>
        <w:t xml:space="preserve">Una categoria di farmaci biologici, </w:t>
      </w:r>
      <w:r w:rsidR="00424996" w:rsidRPr="005D573F">
        <w:rPr>
          <w:rFonts w:ascii="Arial" w:hAnsi="Arial"/>
        </w:rPr>
        <w:t xml:space="preserve">gli inibitori del fattore di crescita dell’epidermide (EGFR), utilizzati in clinica </w:t>
      </w:r>
      <w:r w:rsidR="00902038" w:rsidRPr="005D573F">
        <w:rPr>
          <w:rFonts w:ascii="Arial" w:hAnsi="Arial"/>
        </w:rPr>
        <w:t xml:space="preserve">nel trattamento del tumore del colon e del polmone metastatici, possono determinare una vasta gamma di tossicità cutanee. La più frequente è il </w:t>
      </w:r>
      <w:proofErr w:type="spellStart"/>
      <w:r w:rsidR="00902038" w:rsidRPr="005D573F">
        <w:rPr>
          <w:rFonts w:ascii="Arial" w:hAnsi="Arial"/>
        </w:rPr>
        <w:t>rash</w:t>
      </w:r>
      <w:proofErr w:type="spellEnd"/>
      <w:r w:rsidR="00902038" w:rsidRPr="005D573F">
        <w:rPr>
          <w:rFonts w:ascii="Arial" w:hAnsi="Arial"/>
        </w:rPr>
        <w:t xml:space="preserve"> follicolare </w:t>
      </w:r>
      <w:proofErr w:type="spellStart"/>
      <w:r w:rsidR="00902038" w:rsidRPr="005D573F">
        <w:rPr>
          <w:rFonts w:ascii="Arial" w:hAnsi="Arial"/>
        </w:rPr>
        <w:t>papulo</w:t>
      </w:r>
      <w:proofErr w:type="spellEnd"/>
      <w:r w:rsidR="00902038" w:rsidRPr="005D573F">
        <w:rPr>
          <w:rFonts w:ascii="Arial" w:hAnsi="Arial"/>
        </w:rPr>
        <w:t>/</w:t>
      </w:r>
      <w:proofErr w:type="spellStart"/>
      <w:r w:rsidR="00902038" w:rsidRPr="005D573F">
        <w:rPr>
          <w:rFonts w:ascii="Arial" w:hAnsi="Arial"/>
        </w:rPr>
        <w:t>pustolare</w:t>
      </w:r>
      <w:proofErr w:type="spellEnd"/>
      <w:r w:rsidR="00BA12FF" w:rsidRPr="005D573F">
        <w:rPr>
          <w:rFonts w:ascii="Arial" w:hAnsi="Arial"/>
        </w:rPr>
        <w:t xml:space="preserve">, ma possono presentarsi anche, fra le altre, xerosi, </w:t>
      </w:r>
      <w:proofErr w:type="spellStart"/>
      <w:r w:rsidR="00BA12FF" w:rsidRPr="005D573F">
        <w:rPr>
          <w:rFonts w:ascii="Arial" w:hAnsi="Arial"/>
        </w:rPr>
        <w:t>fissurazioni</w:t>
      </w:r>
      <w:proofErr w:type="spellEnd"/>
      <w:r w:rsidR="00BA12FF" w:rsidRPr="005D573F">
        <w:rPr>
          <w:rFonts w:ascii="Arial" w:hAnsi="Arial"/>
        </w:rPr>
        <w:t xml:space="preserve"> cutanee</w:t>
      </w:r>
      <w:r w:rsidR="00400C57" w:rsidRPr="005D573F">
        <w:rPr>
          <w:rFonts w:ascii="Arial" w:hAnsi="Arial"/>
        </w:rPr>
        <w:t>, alterazioni ungueali</w:t>
      </w:r>
      <w:r w:rsidR="00BA12FF" w:rsidRPr="005D573F">
        <w:rPr>
          <w:rFonts w:ascii="Arial" w:hAnsi="Arial"/>
        </w:rPr>
        <w:t xml:space="preserve"> ed eczema</w:t>
      </w:r>
      <w:r w:rsidR="00400C57" w:rsidRPr="005D573F">
        <w:rPr>
          <w:rFonts w:ascii="Arial" w:hAnsi="Arial"/>
        </w:rPr>
        <w:t>, con un</w:t>
      </w:r>
      <w:r w:rsidR="00C8338D" w:rsidRPr="005D573F">
        <w:rPr>
          <w:rFonts w:ascii="Arial" w:hAnsi="Arial"/>
        </w:rPr>
        <w:t>’</w:t>
      </w:r>
      <w:r w:rsidR="00400C57" w:rsidRPr="005D573F">
        <w:rPr>
          <w:rFonts w:ascii="Arial" w:hAnsi="Arial"/>
        </w:rPr>
        <w:t>incidenza riportata variabile fra il 12% e il 35% dei casi</w:t>
      </w:r>
      <w:r w:rsidR="00BA12FF" w:rsidRPr="005D573F">
        <w:rPr>
          <w:rFonts w:ascii="Arial" w:hAnsi="Arial"/>
        </w:rPr>
        <w:t xml:space="preserve">. </w:t>
      </w:r>
      <w:r w:rsidR="00DF22CB" w:rsidRPr="005D573F">
        <w:rPr>
          <w:rFonts w:ascii="Arial" w:hAnsi="Arial"/>
        </w:rPr>
        <w:t xml:space="preserve">Altri farmaci biologici, gli inibitori delle </w:t>
      </w:r>
      <w:proofErr w:type="spellStart"/>
      <w:r w:rsidR="00DF22CB" w:rsidRPr="005D573F">
        <w:rPr>
          <w:rFonts w:ascii="Arial" w:hAnsi="Arial"/>
        </w:rPr>
        <w:t>tirosin</w:t>
      </w:r>
      <w:proofErr w:type="spellEnd"/>
      <w:r w:rsidR="00DF22CB" w:rsidRPr="005D573F">
        <w:rPr>
          <w:rFonts w:ascii="Arial" w:hAnsi="Arial"/>
        </w:rPr>
        <w:t xml:space="preserve">-chinasi, possono spesso determinare tossicità cutanea, più frequentemente in forma di dermatiti </w:t>
      </w:r>
      <w:proofErr w:type="gramStart"/>
      <w:r w:rsidR="00DF22CB" w:rsidRPr="005D573F">
        <w:rPr>
          <w:rFonts w:ascii="Arial" w:hAnsi="Arial"/>
        </w:rPr>
        <w:t>ed</w:t>
      </w:r>
      <w:proofErr w:type="gramEnd"/>
      <w:r w:rsidR="00DF22CB" w:rsidRPr="005D573F">
        <w:rPr>
          <w:rFonts w:ascii="Arial" w:hAnsi="Arial"/>
        </w:rPr>
        <w:t xml:space="preserve"> edema, ma anche di sindrome mani-piedi.</w:t>
      </w:r>
      <w:r w:rsidR="00996C03" w:rsidRPr="005D573F">
        <w:rPr>
          <w:rFonts w:ascii="Arial" w:hAnsi="Arial"/>
        </w:rPr>
        <w:t xml:space="preserve"> Anche la fotosensibilità rappresenta un effetto collaterale comune, pertanto per questi pazienti è raccomandato il non esporsi al sole e l’utilizzo di creme anti UV.</w:t>
      </w:r>
    </w:p>
    <w:p w14:paraId="52B5B5A0" w14:textId="452B0121" w:rsidR="00E82442" w:rsidRPr="005D573F" w:rsidRDefault="00E82442" w:rsidP="00E82442">
      <w:pPr>
        <w:jc w:val="both"/>
        <w:rPr>
          <w:rFonts w:ascii="Arial" w:hAnsi="Arial"/>
        </w:rPr>
      </w:pPr>
      <w:r w:rsidRPr="005D573F">
        <w:rPr>
          <w:rFonts w:ascii="Arial" w:hAnsi="Arial"/>
        </w:rPr>
        <w:t>Le t</w:t>
      </w:r>
      <w:r w:rsidR="007F7ACA" w:rsidRPr="005D573F">
        <w:rPr>
          <w:rFonts w:ascii="Arial" w:hAnsi="Arial"/>
        </w:rPr>
        <w:t xml:space="preserve">ossicità cutanee sono inoltre un </w:t>
      </w:r>
      <w:r w:rsidRPr="005D573F">
        <w:rPr>
          <w:rFonts w:ascii="Arial" w:hAnsi="Arial"/>
        </w:rPr>
        <w:t xml:space="preserve">effetto collaterale </w:t>
      </w:r>
      <w:r w:rsidR="007F7ACA" w:rsidRPr="005D573F">
        <w:rPr>
          <w:rFonts w:ascii="Arial" w:hAnsi="Arial"/>
        </w:rPr>
        <w:t>molto</w:t>
      </w:r>
      <w:r w:rsidRPr="005D573F">
        <w:rPr>
          <w:rFonts w:ascii="Arial" w:hAnsi="Arial"/>
        </w:rPr>
        <w:t xml:space="preserve"> frequente in corso di immunoterapia, verificandosi addirittura tra il 30% e il 50% dei casi. Le manifestazioni spaziano dal semplice prurito, all’</w:t>
      </w:r>
      <w:proofErr w:type="spellStart"/>
      <w:r w:rsidRPr="005D573F">
        <w:rPr>
          <w:rFonts w:ascii="Arial" w:hAnsi="Arial"/>
        </w:rPr>
        <w:t>epidermiolisi</w:t>
      </w:r>
      <w:proofErr w:type="spellEnd"/>
      <w:r w:rsidRPr="005D573F">
        <w:rPr>
          <w:rFonts w:ascii="Arial" w:hAnsi="Arial"/>
        </w:rPr>
        <w:t xml:space="preserve"> bollosa, alla vitiligine, fino alle reazioni più gravi, come </w:t>
      </w:r>
      <w:proofErr w:type="gramStart"/>
      <w:r w:rsidRPr="005D573F">
        <w:rPr>
          <w:rFonts w:ascii="Arial" w:hAnsi="Arial"/>
        </w:rPr>
        <w:t>la pustolosi</w:t>
      </w:r>
      <w:proofErr w:type="gramEnd"/>
      <w:r w:rsidRPr="005D573F">
        <w:rPr>
          <w:rFonts w:ascii="Arial" w:hAnsi="Arial"/>
        </w:rPr>
        <w:t xml:space="preserve"> esantematica acuta generalizzata</w:t>
      </w:r>
      <w:r w:rsidR="00C8338D" w:rsidRPr="005D573F">
        <w:rPr>
          <w:rFonts w:ascii="Arial" w:hAnsi="Arial"/>
        </w:rPr>
        <w:t>.</w:t>
      </w:r>
    </w:p>
    <w:p w14:paraId="0F8A0C6B" w14:textId="2B7529BE" w:rsidR="00E82442" w:rsidRPr="005D573F" w:rsidRDefault="00C8338D" w:rsidP="005B461D">
      <w:pPr>
        <w:jc w:val="both"/>
        <w:rPr>
          <w:rFonts w:ascii="Arial" w:hAnsi="Arial"/>
        </w:rPr>
      </w:pPr>
      <w:r w:rsidRPr="005D573F">
        <w:rPr>
          <w:rFonts w:ascii="Arial" w:hAnsi="Arial"/>
        </w:rPr>
        <w:t>Il trattamento delle tossicità cutanee varia in base alla gravità delle stesse e alla categoria di farmaci che le ha causate. Nei casi più lievi, grande beneficio può essere ottenuto semplicemente tramite l’applicazione di creme da banco</w:t>
      </w:r>
      <w:r w:rsidR="001757BF" w:rsidRPr="005D573F">
        <w:rPr>
          <w:rFonts w:ascii="Arial" w:hAnsi="Arial"/>
        </w:rPr>
        <w:t xml:space="preserve"> (che dovrebbero essere utilizzate anche per la prevenzione di tali effetti nel paziente asintomatico)</w:t>
      </w:r>
      <w:r w:rsidRPr="005D573F">
        <w:rPr>
          <w:rFonts w:ascii="Arial" w:hAnsi="Arial"/>
        </w:rPr>
        <w:t>, idratanti o contenenti urea o idrocortisone. Nei casi che si presentano più severamente, l’immediata sospensione della terapia è indicata e, raramente, può rendersi necessaria l’ospedalizzazione per la somministrazione di terapia endovenos</w:t>
      </w:r>
      <w:r w:rsidR="00F73509" w:rsidRPr="005D573F">
        <w:rPr>
          <w:rFonts w:ascii="Arial" w:hAnsi="Arial"/>
        </w:rPr>
        <w:t>a</w:t>
      </w:r>
      <w:r w:rsidRPr="005D573F">
        <w:rPr>
          <w:rFonts w:ascii="Arial" w:hAnsi="Arial"/>
        </w:rPr>
        <w:t xml:space="preserve"> di supporto.</w:t>
      </w:r>
    </w:p>
    <w:sectPr w:rsidR="00E82442" w:rsidRPr="005D57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E96"/>
    <w:rsid w:val="001258C0"/>
    <w:rsid w:val="001757BF"/>
    <w:rsid w:val="001A5A24"/>
    <w:rsid w:val="001E3620"/>
    <w:rsid w:val="00241BBE"/>
    <w:rsid w:val="00260F29"/>
    <w:rsid w:val="002E23BC"/>
    <w:rsid w:val="002F7C37"/>
    <w:rsid w:val="003B3503"/>
    <w:rsid w:val="00400C57"/>
    <w:rsid w:val="00424996"/>
    <w:rsid w:val="00460CEB"/>
    <w:rsid w:val="0049103C"/>
    <w:rsid w:val="004E43BE"/>
    <w:rsid w:val="00524F82"/>
    <w:rsid w:val="005B461D"/>
    <w:rsid w:val="005D573F"/>
    <w:rsid w:val="00624B58"/>
    <w:rsid w:val="00765DBB"/>
    <w:rsid w:val="007B6D6A"/>
    <w:rsid w:val="007D4243"/>
    <w:rsid w:val="007F117B"/>
    <w:rsid w:val="007F7ACA"/>
    <w:rsid w:val="008E1D88"/>
    <w:rsid w:val="008F7247"/>
    <w:rsid w:val="00902038"/>
    <w:rsid w:val="00921D3C"/>
    <w:rsid w:val="00996C03"/>
    <w:rsid w:val="00A44646"/>
    <w:rsid w:val="00B42862"/>
    <w:rsid w:val="00B53E26"/>
    <w:rsid w:val="00BA12FF"/>
    <w:rsid w:val="00BC0E96"/>
    <w:rsid w:val="00BC1CE2"/>
    <w:rsid w:val="00BC633E"/>
    <w:rsid w:val="00BF75DD"/>
    <w:rsid w:val="00C02A78"/>
    <w:rsid w:val="00C348D4"/>
    <w:rsid w:val="00C8338D"/>
    <w:rsid w:val="00C84BD9"/>
    <w:rsid w:val="00CF23DF"/>
    <w:rsid w:val="00DD37E2"/>
    <w:rsid w:val="00DF22CB"/>
    <w:rsid w:val="00E21CCF"/>
    <w:rsid w:val="00E62A78"/>
    <w:rsid w:val="00E82442"/>
    <w:rsid w:val="00F009CB"/>
    <w:rsid w:val="00F343D7"/>
    <w:rsid w:val="00F73509"/>
    <w:rsid w:val="00F92173"/>
    <w:rsid w:val="00FA7582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6D0E9E"/>
  <w15:docId w15:val="{86B93411-46D8-43D2-ADAF-284186D9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57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5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foderaro</dc:creator>
  <cp:keywords/>
  <dc:description/>
  <cp:lastModifiedBy>Francesca Alibrandi</cp:lastModifiedBy>
  <cp:revision>2</cp:revision>
  <cp:lastPrinted>2021-02-24T11:28:00Z</cp:lastPrinted>
  <dcterms:created xsi:type="dcterms:W3CDTF">2021-03-02T15:54:00Z</dcterms:created>
  <dcterms:modified xsi:type="dcterms:W3CDTF">2021-03-02T15:54:00Z</dcterms:modified>
</cp:coreProperties>
</file>